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CA7DD" w14:textId="5C9D3172" w:rsidR="00330CD6" w:rsidRPr="00EE76A9" w:rsidRDefault="00330CD6" w:rsidP="00330CD6">
      <w:pPr>
        <w:pStyle w:val="Header"/>
        <w:tabs>
          <w:tab w:val="right" w:pos="9639"/>
        </w:tabs>
        <w:rPr>
          <w:bCs/>
          <w:i/>
          <w:noProof w:val="0"/>
          <w:sz w:val="32"/>
        </w:rPr>
      </w:pPr>
      <w:bookmarkStart w:id="0" w:name="OLE_LINK5"/>
      <w:bookmarkStart w:id="1" w:name="OLE_LINK6"/>
      <w:r w:rsidRPr="007B7496">
        <w:rPr>
          <w:bCs/>
          <w:noProof w:val="0"/>
          <w:sz w:val="24"/>
        </w:rPr>
        <w:t>3GPP T</w:t>
      </w:r>
      <w:bookmarkStart w:id="2" w:name="_Ref452454252"/>
      <w:bookmarkEnd w:id="2"/>
      <w:r w:rsidRPr="007B7496">
        <w:rPr>
          <w:bCs/>
          <w:noProof w:val="0"/>
          <w:sz w:val="24"/>
        </w:rPr>
        <w:t xml:space="preserve">SG-RAN </w:t>
      </w:r>
      <w:r w:rsidRPr="000A4D7C">
        <w:rPr>
          <w:noProof w:val="0"/>
          <w:sz w:val="24"/>
        </w:rPr>
        <w:t>WG</w:t>
      </w:r>
      <w:r>
        <w:rPr>
          <w:noProof w:val="0"/>
          <w:sz w:val="24"/>
        </w:rPr>
        <w:t>1#90</w:t>
      </w:r>
      <w:r w:rsidRPr="007B7496">
        <w:rPr>
          <w:bCs/>
          <w:noProof w:val="0"/>
          <w:sz w:val="24"/>
        </w:rPr>
        <w:tab/>
      </w:r>
      <w:r w:rsidRPr="00026794">
        <w:rPr>
          <w:rFonts w:hint="eastAsia"/>
          <w:bCs/>
          <w:noProof w:val="0"/>
          <w:sz w:val="24"/>
        </w:rPr>
        <w:t>R</w:t>
      </w:r>
      <w:r w:rsidRPr="00026794">
        <w:rPr>
          <w:bCs/>
          <w:noProof w:val="0"/>
          <w:sz w:val="24"/>
        </w:rPr>
        <w:t>1</w:t>
      </w:r>
      <w:r w:rsidRPr="00026794">
        <w:rPr>
          <w:rFonts w:hint="eastAsia"/>
          <w:bCs/>
          <w:noProof w:val="0"/>
          <w:sz w:val="24"/>
        </w:rPr>
        <w:t>-</w:t>
      </w:r>
      <w:r>
        <w:rPr>
          <w:bCs/>
          <w:noProof w:val="0"/>
          <w:sz w:val="24"/>
        </w:rPr>
        <w:t>171</w:t>
      </w:r>
      <w:r>
        <w:rPr>
          <w:bCs/>
          <w:noProof w:val="0"/>
          <w:sz w:val="24"/>
        </w:rPr>
        <w:t>4024</w:t>
      </w:r>
    </w:p>
    <w:bookmarkEnd w:id="0"/>
    <w:bookmarkEnd w:id="1"/>
    <w:p w14:paraId="701092DD" w14:textId="77777777" w:rsidR="00330CD6" w:rsidRPr="00461210" w:rsidRDefault="00330CD6" w:rsidP="00330CD6">
      <w:pPr>
        <w:pStyle w:val="Header"/>
        <w:tabs>
          <w:tab w:val="right" w:pos="9639"/>
        </w:tabs>
        <w:rPr>
          <w:bCs/>
          <w:noProof w:val="0"/>
          <w:sz w:val="24"/>
        </w:rPr>
      </w:pPr>
      <w:r>
        <w:rPr>
          <w:noProof w:val="0"/>
          <w:sz w:val="24"/>
        </w:rPr>
        <w:t xml:space="preserve">Prague, </w:t>
      </w:r>
      <w:r w:rsidRPr="0004189A">
        <w:rPr>
          <w:noProof w:val="0"/>
          <w:sz w:val="24"/>
        </w:rPr>
        <w:t>Czech Republic, 21</w:t>
      </w:r>
      <w:r w:rsidRPr="0004189A">
        <w:rPr>
          <w:noProof w:val="0"/>
          <w:sz w:val="24"/>
          <w:vertAlign w:val="superscript"/>
        </w:rPr>
        <w:t>st</w:t>
      </w:r>
      <w:r>
        <w:rPr>
          <w:noProof w:val="0"/>
          <w:sz w:val="24"/>
        </w:rPr>
        <w:t xml:space="preserve"> </w:t>
      </w:r>
      <w:r w:rsidRPr="0004189A">
        <w:rPr>
          <w:noProof w:val="0"/>
          <w:sz w:val="24"/>
        </w:rPr>
        <w:t>– 25</w:t>
      </w:r>
      <w:r w:rsidRPr="0004189A">
        <w:rPr>
          <w:noProof w:val="0"/>
          <w:sz w:val="24"/>
          <w:vertAlign w:val="superscript"/>
        </w:rPr>
        <w:t>th</w:t>
      </w:r>
      <w:r>
        <w:rPr>
          <w:noProof w:val="0"/>
          <w:sz w:val="24"/>
        </w:rPr>
        <w:t xml:space="preserve"> </w:t>
      </w:r>
      <w:r w:rsidRPr="0004189A">
        <w:rPr>
          <w:noProof w:val="0"/>
          <w:sz w:val="24"/>
        </w:rPr>
        <w:t>August 2017</w:t>
      </w:r>
    </w:p>
    <w:p w14:paraId="6CC4E3B9" w14:textId="77777777" w:rsidR="00CA26CE" w:rsidRPr="0016316A" w:rsidRDefault="00CA26CE" w:rsidP="00CA26CE">
      <w:pPr>
        <w:pStyle w:val="Header"/>
        <w:rPr>
          <w:bCs/>
          <w:noProof w:val="0"/>
          <w:sz w:val="24"/>
          <w:lang w:val="en-GB" w:eastAsia="ja-JP"/>
        </w:rPr>
      </w:pPr>
    </w:p>
    <w:p w14:paraId="6F51EFCF" w14:textId="319655A8"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330CD6">
        <w:rPr>
          <w:rFonts w:cs="Arial"/>
          <w:b/>
          <w:bCs/>
          <w:sz w:val="24"/>
        </w:rPr>
        <w:t>6.1.3.6</w:t>
      </w:r>
    </w:p>
    <w:p w14:paraId="3569DAF3" w14:textId="1919EA4B"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6505FA">
        <w:rPr>
          <w:rFonts w:ascii="Arial" w:hAnsi="Arial" w:cs="Arial"/>
          <w:b/>
          <w:bCs/>
          <w:sz w:val="24"/>
        </w:rPr>
        <w:t>Nokia, Nokia</w:t>
      </w:r>
      <w:r w:rsidR="00013455" w:rsidRPr="00013455">
        <w:rPr>
          <w:rFonts w:ascii="Arial" w:hAnsi="Arial" w:cs="Arial"/>
          <w:b/>
          <w:bCs/>
          <w:sz w:val="24"/>
        </w:rPr>
        <w:t xml:space="preserve"> Shanghai Bell</w:t>
      </w:r>
    </w:p>
    <w:p w14:paraId="390174C5" w14:textId="1C94000E"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30CD6" w:rsidRPr="00330CD6">
        <w:rPr>
          <w:rFonts w:ascii="Arial" w:hAnsi="Arial" w:cs="Arial"/>
          <w:b/>
          <w:bCs/>
          <w:sz w:val="24"/>
        </w:rPr>
        <w:t>On forward compatibility r</w:t>
      </w:r>
      <w:bookmarkStart w:id="3" w:name="_GoBack"/>
      <w:bookmarkEnd w:id="3"/>
      <w:r w:rsidR="00330CD6" w:rsidRPr="00330CD6">
        <w:rPr>
          <w:rFonts w:ascii="Arial" w:hAnsi="Arial" w:cs="Arial"/>
          <w:b/>
          <w:bCs/>
          <w:sz w:val="24"/>
        </w:rPr>
        <w:t>esource reservation</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492F7594" w14:textId="3CABFF5D" w:rsidR="00CC300C" w:rsidRPr="002E758C" w:rsidRDefault="00330CD6" w:rsidP="00330CD6">
      <w:pPr>
        <w:spacing w:after="120"/>
        <w:jc w:val="both"/>
        <w:rPr>
          <w:bCs/>
        </w:rPr>
      </w:pPr>
      <w:r>
        <w:rPr>
          <w:bCs/>
        </w:rPr>
        <w:t>During the 5G study item RAN1 reached some basic agreements on the arrangement of forward compatible resource reservation</w:t>
      </w:r>
    </w:p>
    <w:p w14:paraId="643CB918" w14:textId="1DE08DEA" w:rsidR="00330CD6" w:rsidRPr="005050D8" w:rsidRDefault="00330CD6" w:rsidP="00330CD6">
      <w:pPr>
        <w:ind w:left="284"/>
        <w:rPr>
          <w:rFonts w:eastAsia="MS Mincho" w:hint="eastAsia"/>
          <w:b/>
          <w:u w:val="single"/>
          <w:lang w:val="en-US" w:eastAsia="ja-JP"/>
        </w:rPr>
      </w:pPr>
      <w:r w:rsidRPr="00455AF8">
        <w:rPr>
          <w:rFonts w:eastAsia="MS Mincho" w:hint="eastAsia"/>
          <w:b/>
          <w:highlight w:val="green"/>
          <w:u w:val="single"/>
          <w:lang w:val="en-US" w:eastAsia="ja-JP"/>
        </w:rPr>
        <w:t>Agreements:</w:t>
      </w:r>
      <w:r>
        <w:rPr>
          <w:rFonts w:eastAsia="MS Mincho"/>
          <w:b/>
          <w:u w:val="single"/>
          <w:lang w:val="en-US" w:eastAsia="ja-JP"/>
        </w:rPr>
        <w:t xml:space="preserve"> </w:t>
      </w:r>
      <w:r w:rsidRPr="00330CD6">
        <w:rPr>
          <w:rFonts w:eastAsia="MS Mincho"/>
          <w:i/>
          <w:lang w:val="en-US" w:eastAsia="ja-JP"/>
        </w:rPr>
        <w:t>(RAN1#86bis)</w:t>
      </w:r>
    </w:p>
    <w:p w14:paraId="0895B739" w14:textId="77777777" w:rsidR="00330CD6" w:rsidRPr="005050D8" w:rsidRDefault="00330CD6" w:rsidP="00330CD6">
      <w:pPr>
        <w:numPr>
          <w:ilvl w:val="0"/>
          <w:numId w:val="21"/>
        </w:numPr>
        <w:tabs>
          <w:tab w:val="clear" w:pos="720"/>
          <w:tab w:val="num" w:pos="1004"/>
        </w:tabs>
        <w:overflowPunct/>
        <w:autoSpaceDE/>
        <w:autoSpaceDN/>
        <w:adjustRightInd/>
        <w:spacing w:after="0"/>
        <w:ind w:left="1004"/>
        <w:textAlignment w:val="auto"/>
        <w:rPr>
          <w:rFonts w:eastAsia="MS Mincho"/>
          <w:lang w:val="en-US" w:eastAsia="ja-JP"/>
        </w:rPr>
      </w:pPr>
      <w:r w:rsidRPr="005050D8">
        <w:rPr>
          <w:rFonts w:eastAsia="MS Mincho"/>
          <w:lang w:val="en-US" w:eastAsia="ja-JP"/>
        </w:rPr>
        <w:t xml:space="preserve">Explicit signaling to NR UEs </w:t>
      </w:r>
      <w:r>
        <w:rPr>
          <w:rFonts w:eastAsia="MS Mincho" w:hint="eastAsia"/>
          <w:lang w:val="en-US" w:eastAsia="ja-JP"/>
        </w:rPr>
        <w:t xml:space="preserve">can </w:t>
      </w:r>
      <w:r>
        <w:rPr>
          <w:rFonts w:eastAsia="MS Mincho"/>
          <w:lang w:val="en-US" w:eastAsia="ja-JP"/>
        </w:rPr>
        <w:t>indicate</w:t>
      </w:r>
      <w:r w:rsidRPr="005050D8">
        <w:rPr>
          <w:rFonts w:eastAsia="MS Mincho"/>
          <w:lang w:val="en-US" w:eastAsia="ja-JP"/>
        </w:rPr>
        <w:t xml:space="preserve"> </w:t>
      </w:r>
      <w:r>
        <w:rPr>
          <w:rFonts w:eastAsia="MS Mincho" w:hint="eastAsia"/>
          <w:lang w:val="en-US" w:eastAsia="ja-JP"/>
        </w:rPr>
        <w:t>reserved</w:t>
      </w:r>
      <w:r w:rsidRPr="005050D8">
        <w:rPr>
          <w:rFonts w:eastAsia="MS Mincho"/>
          <w:lang w:val="en-US" w:eastAsia="ja-JP"/>
        </w:rPr>
        <w:t xml:space="preserve"> resources</w:t>
      </w:r>
    </w:p>
    <w:p w14:paraId="72A2AF97" w14:textId="77777777" w:rsidR="00330CD6" w:rsidRPr="005050D8" w:rsidRDefault="00330CD6" w:rsidP="00330CD6">
      <w:pPr>
        <w:numPr>
          <w:ilvl w:val="1"/>
          <w:numId w:val="21"/>
        </w:numPr>
        <w:tabs>
          <w:tab w:val="clear" w:pos="1440"/>
          <w:tab w:val="num" w:pos="1724"/>
        </w:tabs>
        <w:overflowPunct/>
        <w:autoSpaceDE/>
        <w:autoSpaceDN/>
        <w:adjustRightInd/>
        <w:spacing w:after="0"/>
        <w:ind w:left="1724"/>
        <w:textAlignment w:val="auto"/>
        <w:rPr>
          <w:rFonts w:eastAsia="MS Mincho"/>
          <w:lang w:val="en-US" w:eastAsia="ja-JP"/>
        </w:rPr>
      </w:pPr>
      <w:r w:rsidRPr="005050D8">
        <w:rPr>
          <w:rFonts w:eastAsia="MS Mincho"/>
          <w:lang w:val="en-US" w:eastAsia="ja-JP"/>
        </w:rPr>
        <w:t xml:space="preserve">The details on signaling information and transmission are FFS </w:t>
      </w:r>
    </w:p>
    <w:p w14:paraId="6637224C" w14:textId="77777777" w:rsidR="00330CD6" w:rsidRPr="005050D8"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lang w:val="en-US" w:eastAsia="ja-JP"/>
        </w:rPr>
      </w:pPr>
      <w:r w:rsidRPr="005050D8">
        <w:rPr>
          <w:rFonts w:eastAsia="MS Mincho"/>
          <w:lang w:val="en-US" w:eastAsia="ja-JP"/>
        </w:rPr>
        <w:t>e.g. granularity for blank resource indication</w:t>
      </w:r>
    </w:p>
    <w:p w14:paraId="6C2BB3EB" w14:textId="77777777" w:rsidR="00330CD6" w:rsidRPr="005050D8"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lang w:val="en-US" w:eastAsia="ja-JP"/>
        </w:rPr>
      </w:pPr>
      <w:r w:rsidRPr="005050D8">
        <w:rPr>
          <w:rFonts w:eastAsia="MS Mincho"/>
          <w:lang w:val="en-US" w:eastAsia="ja-JP"/>
        </w:rPr>
        <w:t>e.g. RRC signaling and/or L1 signaling</w:t>
      </w:r>
      <w:r>
        <w:rPr>
          <w:rFonts w:eastAsia="MS Mincho" w:hint="eastAsia"/>
          <w:lang w:val="en-US" w:eastAsia="ja-JP"/>
        </w:rPr>
        <w:t xml:space="preserve"> (including DL control information)</w:t>
      </w:r>
    </w:p>
    <w:p w14:paraId="63A2374E" w14:textId="77777777" w:rsidR="00330CD6" w:rsidRPr="005050D8"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lang w:val="en-US" w:eastAsia="ja-JP"/>
        </w:rPr>
      </w:pPr>
      <w:r w:rsidRPr="005050D8">
        <w:rPr>
          <w:rFonts w:eastAsia="MS Mincho"/>
          <w:lang w:val="en-US" w:eastAsia="ja-JP"/>
        </w:rPr>
        <w:t>e.g. broadcast and/or unicast signaling</w:t>
      </w:r>
    </w:p>
    <w:p w14:paraId="61308BC4" w14:textId="77777777" w:rsidR="00330CD6"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hint="eastAsia"/>
          <w:lang w:val="en-US" w:eastAsia="ja-JP"/>
        </w:rPr>
      </w:pPr>
      <w:r w:rsidRPr="005050D8">
        <w:rPr>
          <w:rFonts w:eastAsia="MS Mincho"/>
          <w:lang w:val="en-US" w:eastAsia="ja-JP"/>
        </w:rPr>
        <w:t>e.g., whether this signaling is applicable to UE UL operation and/or DL operation and/or sidelink operation</w:t>
      </w:r>
    </w:p>
    <w:p w14:paraId="1E6ED5A4" w14:textId="77777777" w:rsidR="00330CD6"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hint="eastAsia"/>
          <w:lang w:val="en-US" w:eastAsia="ja-JP"/>
        </w:rPr>
      </w:pPr>
      <w:r>
        <w:rPr>
          <w:rFonts w:eastAsia="MS Mincho" w:hint="eastAsia"/>
          <w:lang w:val="en-US" w:eastAsia="ja-JP"/>
        </w:rPr>
        <w:t xml:space="preserve">FFS: combination of above </w:t>
      </w:r>
      <w:r>
        <w:rPr>
          <w:rFonts w:eastAsia="MS Mincho"/>
          <w:lang w:val="en-US" w:eastAsia="ja-JP"/>
        </w:rPr>
        <w:t>signaling</w:t>
      </w:r>
    </w:p>
    <w:p w14:paraId="1D06BC96" w14:textId="77777777" w:rsidR="00330CD6" w:rsidRDefault="00330CD6" w:rsidP="00330CD6">
      <w:pPr>
        <w:numPr>
          <w:ilvl w:val="2"/>
          <w:numId w:val="21"/>
        </w:numPr>
        <w:tabs>
          <w:tab w:val="clear" w:pos="2160"/>
          <w:tab w:val="num" w:pos="2444"/>
        </w:tabs>
        <w:overflowPunct/>
        <w:autoSpaceDE/>
        <w:autoSpaceDN/>
        <w:adjustRightInd/>
        <w:spacing w:after="0"/>
        <w:ind w:left="2444"/>
        <w:textAlignment w:val="auto"/>
        <w:rPr>
          <w:rFonts w:eastAsia="MS Mincho" w:hint="eastAsia"/>
          <w:lang w:val="en-US" w:eastAsia="ja-JP"/>
        </w:rPr>
      </w:pPr>
      <w:r>
        <w:rPr>
          <w:rFonts w:eastAsia="MS Mincho" w:hint="eastAsia"/>
          <w:lang w:val="en-US" w:eastAsia="ja-JP"/>
        </w:rPr>
        <w:t xml:space="preserve">FFS: </w:t>
      </w:r>
      <w:r>
        <w:rPr>
          <w:rFonts w:eastAsia="MS Mincho"/>
          <w:lang w:val="en-US" w:eastAsia="ja-JP"/>
        </w:rPr>
        <w:t>time and</w:t>
      </w:r>
      <w:r w:rsidRPr="005050D8">
        <w:rPr>
          <w:rFonts w:eastAsia="MS Mincho"/>
          <w:lang w:val="en-US" w:eastAsia="ja-JP"/>
        </w:rPr>
        <w:t xml:space="preserve"> frequency</w:t>
      </w:r>
      <w:r>
        <w:rPr>
          <w:rFonts w:eastAsia="MS Mincho" w:hint="eastAsia"/>
          <w:lang w:val="en-US" w:eastAsia="ja-JP"/>
        </w:rPr>
        <w:t xml:space="preserve"> </w:t>
      </w:r>
      <w:r>
        <w:rPr>
          <w:rFonts w:eastAsia="MS Mincho"/>
          <w:lang w:val="en-US" w:eastAsia="ja-JP"/>
        </w:rPr>
        <w:t>granularity</w:t>
      </w:r>
    </w:p>
    <w:p w14:paraId="6E82B2FA" w14:textId="3F2352E2" w:rsidR="00BE4EC9" w:rsidRPr="00CC300C" w:rsidRDefault="00BE4EC9" w:rsidP="00330CD6">
      <w:pPr>
        <w:overflowPunct/>
        <w:autoSpaceDE/>
        <w:autoSpaceDN/>
        <w:adjustRightInd/>
        <w:spacing w:after="0"/>
        <w:ind w:left="1004"/>
        <w:textAlignment w:val="auto"/>
        <w:rPr>
          <w:rFonts w:eastAsia="MS Mincho"/>
          <w:color w:val="C00000"/>
          <w:sz w:val="16"/>
          <w:lang w:val="en-US" w:eastAsia="ja-JP"/>
        </w:rPr>
      </w:pPr>
    </w:p>
    <w:p w14:paraId="64E76E54" w14:textId="4441C8EE" w:rsidR="00330CD6" w:rsidRPr="009B29FB" w:rsidRDefault="00330CD6" w:rsidP="00330CD6">
      <w:pPr>
        <w:ind w:left="284"/>
        <w:rPr>
          <w:rFonts w:eastAsia="MS Mincho" w:hint="eastAsia"/>
          <w:b/>
          <w:u w:val="single"/>
          <w:lang w:eastAsia="ja-JP"/>
        </w:rPr>
      </w:pPr>
      <w:r w:rsidRPr="009178DC">
        <w:rPr>
          <w:rFonts w:eastAsia="MS Mincho" w:hint="eastAsia"/>
          <w:b/>
          <w:highlight w:val="green"/>
          <w:u w:val="single"/>
          <w:lang w:eastAsia="ja-JP"/>
        </w:rPr>
        <w:t>Agreements:</w:t>
      </w:r>
      <w:r>
        <w:rPr>
          <w:rFonts w:eastAsia="MS Mincho"/>
          <w:b/>
          <w:u w:val="single"/>
          <w:lang w:eastAsia="ja-JP"/>
        </w:rPr>
        <w:t xml:space="preserve"> </w:t>
      </w:r>
      <w:r w:rsidRPr="00330CD6">
        <w:rPr>
          <w:rFonts w:eastAsia="MS Mincho"/>
          <w:i/>
          <w:lang w:eastAsia="ja-JP"/>
        </w:rPr>
        <w:t>(RAN1#87)</w:t>
      </w:r>
    </w:p>
    <w:p w14:paraId="1D807BF0" w14:textId="77777777" w:rsidR="00330CD6" w:rsidRPr="009B29FB" w:rsidRDefault="00330CD6" w:rsidP="00330CD6">
      <w:pPr>
        <w:numPr>
          <w:ilvl w:val="0"/>
          <w:numId w:val="22"/>
        </w:numPr>
        <w:tabs>
          <w:tab w:val="clear" w:pos="720"/>
          <w:tab w:val="num" w:pos="1004"/>
        </w:tabs>
        <w:overflowPunct/>
        <w:autoSpaceDE/>
        <w:autoSpaceDN/>
        <w:adjustRightInd/>
        <w:spacing w:after="0"/>
        <w:ind w:left="1004"/>
        <w:textAlignment w:val="auto"/>
        <w:rPr>
          <w:rFonts w:eastAsia="MS Mincho"/>
          <w:lang w:val="en-US" w:eastAsia="ja-JP"/>
        </w:rPr>
      </w:pPr>
      <w:r>
        <w:rPr>
          <w:rFonts w:eastAsia="MS Mincho" w:hint="eastAsia"/>
          <w:lang w:eastAsia="ja-JP"/>
        </w:rPr>
        <w:t>At least some r</w:t>
      </w:r>
      <w:r w:rsidRPr="009B29FB">
        <w:rPr>
          <w:rFonts w:eastAsia="MS Mincho"/>
          <w:lang w:eastAsia="ja-JP"/>
        </w:rPr>
        <w:t xml:space="preserve">eserved </w:t>
      </w:r>
      <w:r>
        <w:rPr>
          <w:rFonts w:eastAsia="MS Mincho" w:hint="eastAsia"/>
          <w:lang w:eastAsia="ja-JP"/>
        </w:rPr>
        <w:t>re</w:t>
      </w:r>
      <w:r w:rsidRPr="009B29FB">
        <w:rPr>
          <w:rFonts w:eastAsia="MS Mincho"/>
          <w:lang w:eastAsia="ja-JP"/>
        </w:rPr>
        <w:t xml:space="preserve">sources are indicated by using </w:t>
      </w:r>
      <w:r>
        <w:rPr>
          <w:rFonts w:eastAsia="MS Mincho" w:hint="eastAsia"/>
          <w:lang w:eastAsia="ja-JP"/>
        </w:rPr>
        <w:t xml:space="preserve">at least </w:t>
      </w:r>
      <w:r>
        <w:rPr>
          <w:rFonts w:eastAsia="MS Mincho"/>
          <w:lang w:eastAsia="ja-JP"/>
        </w:rPr>
        <w:t>RRC signaling</w:t>
      </w:r>
    </w:p>
    <w:p w14:paraId="7147A73B" w14:textId="77777777" w:rsidR="00330CD6" w:rsidRPr="00330CD6" w:rsidRDefault="00330CD6" w:rsidP="00E13EE4">
      <w:pPr>
        <w:spacing w:after="120"/>
        <w:jc w:val="both"/>
        <w:rPr>
          <w:bCs/>
          <w:lang w:val="en-US"/>
        </w:rPr>
      </w:pPr>
    </w:p>
    <w:p w14:paraId="55CFBDED" w14:textId="59AC1F65" w:rsidR="0078539D" w:rsidRDefault="00330CD6" w:rsidP="00E13EE4">
      <w:pPr>
        <w:spacing w:after="120"/>
        <w:jc w:val="both"/>
      </w:pPr>
      <w:r>
        <w:rPr>
          <w:bCs/>
        </w:rPr>
        <w:t xml:space="preserve">This contribution proposes further details on how to </w:t>
      </w:r>
    </w:p>
    <w:p w14:paraId="1DB60EA8" w14:textId="14F97E9E" w:rsidR="004B23AD" w:rsidRDefault="008D4B8A" w:rsidP="004B23AD">
      <w:pPr>
        <w:pStyle w:val="Heading1"/>
      </w:pPr>
      <w:r>
        <w:rPr>
          <w:color w:val="000000"/>
        </w:rPr>
        <w:t>2</w:t>
      </w:r>
      <w:r w:rsidR="004B23AD" w:rsidRPr="00A51522">
        <w:rPr>
          <w:color w:val="000000"/>
        </w:rPr>
        <w:tab/>
      </w:r>
      <w:r w:rsidR="00A20653">
        <w:t>Discussion</w:t>
      </w:r>
    </w:p>
    <w:p w14:paraId="113F49DE" w14:textId="68EDB53B" w:rsidR="005F5E6F" w:rsidRDefault="005D585A" w:rsidP="0005230E">
      <w:r>
        <w:t>In principle, the NR carrier should be forward compatible to introduce any sort of new transmissions that the future needs and technological evolution call for the 3GPP to specify. In order to be as future proof as possible, the very first NR release should be able to coexist with such new and currently unforeseen transmissions types without any problems.</w:t>
      </w:r>
      <w:r w:rsidR="0005230E">
        <w:t xml:space="preserve"> </w:t>
      </w:r>
      <w:r>
        <w:t>In an ideal case,</w:t>
      </w:r>
      <w:r w:rsidR="0005230E">
        <w:t xml:space="preserve"> any </w:t>
      </w:r>
      <w:r w:rsidR="006E1D43">
        <w:t>DL</w:t>
      </w:r>
      <w:r>
        <w:t xml:space="preserve"> or </w:t>
      </w:r>
      <w:r w:rsidR="006E1D43">
        <w:t xml:space="preserve">UL </w:t>
      </w:r>
      <w:r w:rsidR="0005230E">
        <w:t xml:space="preserve">resource element should be able </w:t>
      </w:r>
      <w:r w:rsidR="005F5E6F">
        <w:t xml:space="preserve">to be </w:t>
      </w:r>
      <w:r>
        <w:t xml:space="preserve">something that can be taken for future use, and thus also configured as reserved resource to a Rel-15 UE. </w:t>
      </w:r>
      <w:r w:rsidR="004708C0">
        <w:t>Figure</w:t>
      </w:r>
      <w:r w:rsidR="00D37720">
        <w:t>s</w:t>
      </w:r>
      <w:r w:rsidR="004708C0">
        <w:t xml:space="preserve"> 1 </w:t>
      </w:r>
      <w:r w:rsidR="00D37720">
        <w:t xml:space="preserve">and 2 </w:t>
      </w:r>
      <w:r w:rsidR="004708C0">
        <w:t>illustrates exemplary scenarios that require attention in forward compatibility design:</w:t>
      </w:r>
    </w:p>
    <w:p w14:paraId="08DEDF65" w14:textId="533942BB" w:rsidR="002E758C" w:rsidRPr="00042E68" w:rsidRDefault="00330CD6" w:rsidP="009036BC">
      <w:pPr>
        <w:pStyle w:val="ListParagraph"/>
        <w:keepNext/>
        <w:numPr>
          <w:ilvl w:val="0"/>
          <w:numId w:val="12"/>
        </w:numPr>
        <w:ind w:left="709" w:hanging="425"/>
        <w:rPr>
          <w:sz w:val="20"/>
          <w:lang w:val="en-US"/>
        </w:rPr>
      </w:pPr>
      <w:r>
        <w:rPr>
          <w:b/>
          <w:sz w:val="20"/>
          <w:lang w:val="en-US"/>
        </w:rPr>
        <w:lastRenderedPageBreak/>
        <w:t>Narrowband resource reservation</w:t>
      </w:r>
      <w:r w:rsidR="002E758C" w:rsidRPr="0005230E">
        <w:rPr>
          <w:b/>
          <w:sz w:val="20"/>
          <w:lang w:val="en-US"/>
        </w:rPr>
        <w:t>:</w:t>
      </w:r>
      <w:r w:rsidR="002E758C" w:rsidRPr="009036BC">
        <w:rPr>
          <w:sz w:val="20"/>
          <w:lang w:val="en-US"/>
        </w:rPr>
        <w:t xml:space="preserve"> An examp</w:t>
      </w:r>
      <w:r>
        <w:rPr>
          <w:sz w:val="20"/>
          <w:lang w:val="en-US"/>
        </w:rPr>
        <w:t>le of narrowband resource reservation</w:t>
      </w:r>
      <w:r w:rsidR="00D26F8C">
        <w:rPr>
          <w:sz w:val="20"/>
          <w:lang w:val="en-US"/>
        </w:rPr>
        <w:t xml:space="preserve"> is a NB-IoT</w:t>
      </w:r>
      <w:r w:rsidR="002E758C" w:rsidRPr="009036BC">
        <w:rPr>
          <w:sz w:val="20"/>
          <w:lang w:val="en-US"/>
        </w:rPr>
        <w:t xml:space="preserve"> service running on the NR carrier. </w:t>
      </w:r>
      <w:r w:rsidR="002E758C" w:rsidRPr="00042E68">
        <w:rPr>
          <w:sz w:val="20"/>
          <w:lang w:val="en-US"/>
        </w:rPr>
        <w:t>Due to coverage reasons, NB-IoT transmission has typically a relatively long time duration e.g. compared to that of eMBB service</w:t>
      </w:r>
      <w:r>
        <w:rPr>
          <w:sz w:val="20"/>
          <w:lang w:val="en-US"/>
        </w:rPr>
        <w:t>, but it is confined to a narrow frequency allocation</w:t>
      </w:r>
      <w:r w:rsidR="002E758C" w:rsidRPr="00042E68">
        <w:rPr>
          <w:sz w:val="20"/>
          <w:lang w:val="en-US"/>
        </w:rPr>
        <w:t xml:space="preserve">. </w:t>
      </w:r>
    </w:p>
    <w:p w14:paraId="634AF08F" w14:textId="024E9318" w:rsidR="004C0C49" w:rsidRDefault="00330CD6" w:rsidP="009036BC">
      <w:pPr>
        <w:pStyle w:val="ListParagraph"/>
        <w:keepNext/>
        <w:numPr>
          <w:ilvl w:val="0"/>
          <w:numId w:val="12"/>
        </w:numPr>
        <w:ind w:left="709" w:hanging="425"/>
        <w:rPr>
          <w:sz w:val="20"/>
          <w:lang w:val="en-US"/>
        </w:rPr>
      </w:pPr>
      <w:r>
        <w:rPr>
          <w:b/>
          <w:sz w:val="20"/>
          <w:lang w:val="en-US"/>
        </w:rPr>
        <w:t>Wideband resource reservation</w:t>
      </w:r>
      <w:r w:rsidR="002E758C" w:rsidRPr="0005230E">
        <w:rPr>
          <w:b/>
          <w:sz w:val="20"/>
          <w:lang w:val="en-US"/>
        </w:rPr>
        <w:t>:</w:t>
      </w:r>
      <w:r>
        <w:rPr>
          <w:sz w:val="20"/>
          <w:lang w:val="en-US"/>
        </w:rPr>
        <w:t xml:space="preserve"> An example of wideband resource reservation</w:t>
      </w:r>
      <w:r w:rsidR="002E758C" w:rsidRPr="009036BC">
        <w:rPr>
          <w:sz w:val="20"/>
          <w:lang w:val="en-US"/>
        </w:rPr>
        <w:t xml:space="preserve"> is an URLLC (Ultra reliable and low latency communications) service running on the NR carrier. </w:t>
      </w:r>
      <w:r w:rsidR="002E758C" w:rsidRPr="00042E68">
        <w:rPr>
          <w:sz w:val="20"/>
          <w:lang w:val="en-US"/>
        </w:rPr>
        <w:t>URLLC transmission ha</w:t>
      </w:r>
      <w:r w:rsidR="00D26F8C">
        <w:rPr>
          <w:sz w:val="20"/>
          <w:lang w:val="en-US"/>
        </w:rPr>
        <w:t>s</w:t>
      </w:r>
      <w:r w:rsidR="002E758C" w:rsidRPr="00042E68">
        <w:rPr>
          <w:sz w:val="20"/>
          <w:lang w:val="en-US"/>
        </w:rPr>
        <w:t xml:space="preserve"> typically relatively wide transmission bandwidth but short time duration.</w:t>
      </w:r>
    </w:p>
    <w:p w14:paraId="1B6DC076" w14:textId="322FEE54" w:rsidR="00D37720" w:rsidRPr="00042E68" w:rsidRDefault="00D37720" w:rsidP="009036BC">
      <w:pPr>
        <w:pStyle w:val="ListParagraph"/>
        <w:keepNext/>
        <w:numPr>
          <w:ilvl w:val="0"/>
          <w:numId w:val="12"/>
        </w:numPr>
        <w:ind w:left="709" w:hanging="425"/>
        <w:rPr>
          <w:sz w:val="20"/>
          <w:lang w:val="en-US"/>
        </w:rPr>
      </w:pPr>
      <w:r>
        <w:rPr>
          <w:b/>
          <w:sz w:val="20"/>
          <w:lang w:val="en-US"/>
        </w:rPr>
        <w:t>Periodic resource reservation</w:t>
      </w:r>
      <w:r>
        <w:rPr>
          <w:sz w:val="20"/>
          <w:lang w:val="en-US"/>
        </w:rPr>
        <w:t>: A new beacon transmission used e.g. for long range synchronization or UE trilateration</w:t>
      </w:r>
    </w:p>
    <w:p w14:paraId="7DD296DB" w14:textId="77777777" w:rsidR="002E758C" w:rsidRPr="00D37720" w:rsidRDefault="002E758C" w:rsidP="002E758C">
      <w:pPr>
        <w:keepNext/>
        <w:ind w:left="360"/>
        <w:jc w:val="center"/>
        <w:rPr>
          <w:lang w:val="en-US"/>
        </w:rPr>
      </w:pPr>
    </w:p>
    <w:p w14:paraId="1911A934" w14:textId="0D5C99A8" w:rsidR="002E758C" w:rsidRDefault="002E758C" w:rsidP="004C0C49">
      <w:pPr>
        <w:keepNext/>
        <w:jc w:val="center"/>
      </w:pPr>
      <w:r w:rsidRPr="002E758C">
        <w:rPr>
          <w:noProof/>
          <w:lang w:val="en-US"/>
        </w:rPr>
        <w:drawing>
          <wp:inline distT="0" distB="0" distL="0" distR="0" wp14:anchorId="030D76A4" wp14:editId="643EC1D5">
            <wp:extent cx="2091444" cy="1217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1060" cy="1223329"/>
                    </a:xfrm>
                    <a:prstGeom prst="rect">
                      <a:avLst/>
                    </a:prstGeom>
                    <a:noFill/>
                    <a:ln>
                      <a:noFill/>
                    </a:ln>
                  </pic:spPr>
                </pic:pic>
              </a:graphicData>
            </a:graphic>
          </wp:inline>
        </w:drawing>
      </w:r>
    </w:p>
    <w:p w14:paraId="04029EED" w14:textId="7A8308CD" w:rsidR="00A51242" w:rsidRDefault="004C0C49" w:rsidP="006E4D1B">
      <w:pPr>
        <w:pStyle w:val="Caption"/>
        <w:spacing w:after="0"/>
        <w:jc w:val="center"/>
        <w:rPr>
          <w:lang w:val="en-US"/>
        </w:rPr>
      </w:pPr>
      <w:r>
        <w:t xml:space="preserve">Figure </w:t>
      </w:r>
      <w:r w:rsidR="003D362D">
        <w:fldChar w:fldCharType="begin"/>
      </w:r>
      <w:r w:rsidR="003D362D">
        <w:instrText xml:space="preserve"> SEQ Figure \* ARABIC </w:instrText>
      </w:r>
      <w:r w:rsidR="003D362D">
        <w:fldChar w:fldCharType="separate"/>
      </w:r>
      <w:r w:rsidR="00D37720">
        <w:rPr>
          <w:noProof/>
        </w:rPr>
        <w:t>1</w:t>
      </w:r>
      <w:r w:rsidR="003D362D">
        <w:rPr>
          <w:noProof/>
        </w:rPr>
        <w:fldChar w:fldCharType="end"/>
      </w:r>
      <w:r w:rsidRPr="004C0C49">
        <w:rPr>
          <w:lang w:val="en-US"/>
        </w:rPr>
        <w:t xml:space="preserve">. </w:t>
      </w:r>
      <w:r w:rsidR="005D585A">
        <w:rPr>
          <w:lang w:val="en-US"/>
        </w:rPr>
        <w:t>Exemplary scenarios for reserved resources</w:t>
      </w:r>
    </w:p>
    <w:p w14:paraId="06B61105" w14:textId="03A6B32D" w:rsidR="009036BC" w:rsidRDefault="009036BC" w:rsidP="009036BC">
      <w:pPr>
        <w:rPr>
          <w:lang w:val="en-US" w:eastAsia="x-none"/>
        </w:rPr>
      </w:pPr>
    </w:p>
    <w:p w14:paraId="50F2297D" w14:textId="77777777" w:rsidR="00D37720" w:rsidRDefault="00D37720" w:rsidP="00D37720">
      <w:pPr>
        <w:spacing w:after="0"/>
        <w:jc w:val="center"/>
        <w:rPr>
          <w:lang w:val="en-US"/>
        </w:rPr>
      </w:pPr>
      <w:r>
        <w:rPr>
          <w:noProof/>
          <w:lang w:val="en-US"/>
        </w:rPr>
        <w:drawing>
          <wp:inline distT="0" distB="0" distL="0" distR="0" wp14:anchorId="12D29DE6" wp14:editId="350045B7">
            <wp:extent cx="2264410" cy="108585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4410" cy="1085850"/>
                    </a:xfrm>
                    <a:prstGeom prst="rect">
                      <a:avLst/>
                    </a:prstGeom>
                    <a:noFill/>
                    <a:ln>
                      <a:noFill/>
                    </a:ln>
                  </pic:spPr>
                </pic:pic>
              </a:graphicData>
            </a:graphic>
          </wp:inline>
        </w:drawing>
      </w:r>
    </w:p>
    <w:p w14:paraId="752E7886" w14:textId="342134DA" w:rsidR="00D37720" w:rsidRDefault="00D37720" w:rsidP="00D37720">
      <w:pPr>
        <w:pStyle w:val="Caption"/>
        <w:spacing w:after="0"/>
        <w:jc w:val="center"/>
        <w:rPr>
          <w:lang w:val="en-US"/>
        </w:rPr>
      </w:pPr>
      <w:r>
        <w:t xml:space="preserve">Figure </w:t>
      </w:r>
      <w:r>
        <w:fldChar w:fldCharType="begin"/>
      </w:r>
      <w:r>
        <w:instrText xml:space="preserve"> SEQ Figure \* ARABIC </w:instrText>
      </w:r>
      <w:r>
        <w:fldChar w:fldCharType="separate"/>
      </w:r>
      <w:r>
        <w:rPr>
          <w:noProof/>
        </w:rPr>
        <w:t>2</w:t>
      </w:r>
      <w:r>
        <w:rPr>
          <w:noProof/>
        </w:rPr>
        <w:fldChar w:fldCharType="end"/>
      </w:r>
      <w:r w:rsidRPr="004C0C49">
        <w:rPr>
          <w:lang w:val="en-US"/>
        </w:rPr>
        <w:t xml:space="preserve">. </w:t>
      </w:r>
      <w:r>
        <w:rPr>
          <w:lang w:val="en-US"/>
        </w:rPr>
        <w:t>Example of periodic forward compatible resource reservation</w:t>
      </w:r>
      <w:r>
        <w:rPr>
          <w:lang w:val="en-US"/>
        </w:rPr>
        <w:t>.</w:t>
      </w:r>
    </w:p>
    <w:p w14:paraId="2D347827" w14:textId="77777777" w:rsidR="00D37720" w:rsidRPr="009036BC" w:rsidRDefault="00D37720" w:rsidP="009036BC">
      <w:pPr>
        <w:rPr>
          <w:lang w:val="en-US" w:eastAsia="x-none"/>
        </w:rPr>
      </w:pPr>
    </w:p>
    <w:p w14:paraId="213F89E6" w14:textId="1171BBB1" w:rsidR="00367367" w:rsidRDefault="009036BC" w:rsidP="009036BC">
      <w:pPr>
        <w:spacing w:after="0"/>
        <w:rPr>
          <w:i/>
        </w:rPr>
      </w:pPr>
      <w:r>
        <w:rPr>
          <w:b/>
          <w:i/>
        </w:rPr>
        <w:t>Observation</w:t>
      </w:r>
      <w:r w:rsidR="00117332" w:rsidRPr="00367367">
        <w:rPr>
          <w:b/>
          <w:i/>
        </w:rPr>
        <w:t xml:space="preserve"> #1</w:t>
      </w:r>
      <w:r w:rsidR="00117332">
        <w:t xml:space="preserve">: </w:t>
      </w:r>
      <w:r w:rsidR="0005230E">
        <w:rPr>
          <w:i/>
        </w:rPr>
        <w:t xml:space="preserve">It should be possible to configure any </w:t>
      </w:r>
      <w:r w:rsidR="006E1D43">
        <w:rPr>
          <w:i/>
        </w:rPr>
        <w:t xml:space="preserve">DL/UL </w:t>
      </w:r>
      <w:r w:rsidR="0005230E">
        <w:rPr>
          <w:i/>
        </w:rPr>
        <w:t>resource element as forward compatible resource</w:t>
      </w:r>
      <w:r w:rsidR="005D585A">
        <w:rPr>
          <w:i/>
        </w:rPr>
        <w:t xml:space="preserve"> with sufficiently high granularity</w:t>
      </w:r>
      <w:r w:rsidR="00D37720">
        <w:rPr>
          <w:i/>
        </w:rPr>
        <w:t xml:space="preserve"> and flexibility</w:t>
      </w:r>
    </w:p>
    <w:p w14:paraId="1C9ABF7A" w14:textId="77777777" w:rsidR="006C51A5" w:rsidRPr="009036BC" w:rsidRDefault="006C51A5" w:rsidP="009036BC">
      <w:pPr>
        <w:spacing w:after="0"/>
        <w:rPr>
          <w:i/>
          <w:color w:val="C00000"/>
        </w:rPr>
      </w:pPr>
    </w:p>
    <w:p w14:paraId="23110643" w14:textId="132C41C5" w:rsidR="000C501D" w:rsidRDefault="005D585A" w:rsidP="000C501D">
      <w:pPr>
        <w:pStyle w:val="Heading1"/>
      </w:pPr>
      <w:r>
        <w:rPr>
          <w:color w:val="000000"/>
        </w:rPr>
        <w:t>3</w:t>
      </w:r>
      <w:r w:rsidR="000C501D" w:rsidRPr="00A51522">
        <w:rPr>
          <w:color w:val="000000"/>
        </w:rPr>
        <w:tab/>
      </w:r>
      <w:r w:rsidR="00C731AD">
        <w:t xml:space="preserve">Options for </w:t>
      </w:r>
      <w:r w:rsidR="00CB015F">
        <w:t>forward compatible resource configuration</w:t>
      </w:r>
    </w:p>
    <w:p w14:paraId="5F29EDE9" w14:textId="65F289AA" w:rsidR="000C501D" w:rsidRPr="00C731AD" w:rsidRDefault="005D585A" w:rsidP="000C501D">
      <w:pPr>
        <w:pStyle w:val="Heading2"/>
        <w:rPr>
          <w:sz w:val="24"/>
          <w:szCs w:val="24"/>
        </w:rPr>
      </w:pPr>
      <w:r>
        <w:rPr>
          <w:sz w:val="24"/>
          <w:szCs w:val="24"/>
        </w:rPr>
        <w:t>3.1</w:t>
      </w:r>
      <w:r w:rsidR="000C501D" w:rsidRPr="00C731AD">
        <w:rPr>
          <w:sz w:val="24"/>
          <w:szCs w:val="24"/>
        </w:rPr>
        <w:t xml:space="preserve"> </w:t>
      </w:r>
      <w:r w:rsidR="000C501D" w:rsidRPr="00C731AD">
        <w:rPr>
          <w:sz w:val="24"/>
          <w:szCs w:val="24"/>
        </w:rPr>
        <w:tab/>
        <w:t>Common signalling</w:t>
      </w:r>
    </w:p>
    <w:p w14:paraId="668D37DE" w14:textId="1FE475BF" w:rsidR="00C731AD" w:rsidRDefault="00C731AD" w:rsidP="00D26F8C">
      <w:pPr>
        <w:spacing w:after="0"/>
      </w:pPr>
      <w:r>
        <w:t xml:space="preserve">There are two main approaches for </w:t>
      </w:r>
      <w:r w:rsidRPr="00C731AD">
        <w:t>explicit indication of FCR</w:t>
      </w:r>
      <w:r>
        <w:t xml:space="preserve"> based on common signalling:</w:t>
      </w:r>
    </w:p>
    <w:p w14:paraId="4FAC90F2" w14:textId="7018FE94" w:rsidR="00C731AD" w:rsidRPr="00C731AD" w:rsidRDefault="0091191F" w:rsidP="0091191F">
      <w:pPr>
        <w:pStyle w:val="ListParagraph"/>
        <w:numPr>
          <w:ilvl w:val="0"/>
          <w:numId w:val="18"/>
        </w:numPr>
        <w:rPr>
          <w:lang w:val="en-US"/>
        </w:rPr>
      </w:pPr>
      <w:r w:rsidRPr="0091191F">
        <w:rPr>
          <w:b/>
          <w:sz w:val="20"/>
          <w:lang w:val="en-US"/>
        </w:rPr>
        <w:t>Option #1:</w:t>
      </w:r>
      <w:r>
        <w:rPr>
          <w:sz w:val="20"/>
          <w:lang w:val="en-US"/>
        </w:rPr>
        <w:t xml:space="preserve"> </w:t>
      </w:r>
      <w:r w:rsidR="00E876EF">
        <w:rPr>
          <w:sz w:val="20"/>
          <w:lang w:val="en-US"/>
        </w:rPr>
        <w:t>Common h</w:t>
      </w:r>
      <w:r w:rsidR="00C731AD" w:rsidRPr="00C731AD">
        <w:rPr>
          <w:sz w:val="20"/>
          <w:lang w:val="en-US"/>
        </w:rPr>
        <w:t xml:space="preserve">igher layer </w:t>
      </w:r>
      <w:r w:rsidR="00A86111" w:rsidRPr="00C731AD">
        <w:rPr>
          <w:sz w:val="20"/>
          <w:lang w:val="en-US"/>
        </w:rPr>
        <w:t>signaling</w:t>
      </w:r>
      <w:r w:rsidR="00C731AD" w:rsidRPr="00C731AD">
        <w:rPr>
          <w:sz w:val="20"/>
          <w:lang w:val="en-US"/>
        </w:rPr>
        <w:t xml:space="preserve"> such as </w:t>
      </w:r>
      <w:r w:rsidR="00C731AD">
        <w:rPr>
          <w:sz w:val="20"/>
          <w:lang w:val="en-US"/>
        </w:rPr>
        <w:t>PBCH or System information</w:t>
      </w:r>
    </w:p>
    <w:p w14:paraId="495C58E5" w14:textId="3231ED54" w:rsidR="00C731AD" w:rsidRPr="00C731AD" w:rsidRDefault="0091191F" w:rsidP="0091191F">
      <w:pPr>
        <w:pStyle w:val="ListParagraph"/>
        <w:numPr>
          <w:ilvl w:val="0"/>
          <w:numId w:val="18"/>
        </w:numPr>
        <w:rPr>
          <w:lang w:val="en-US"/>
        </w:rPr>
      </w:pPr>
      <w:r w:rsidRPr="0091191F">
        <w:rPr>
          <w:b/>
          <w:sz w:val="20"/>
          <w:lang w:val="en-US"/>
        </w:rPr>
        <w:t xml:space="preserve">Option #2: </w:t>
      </w:r>
      <w:r w:rsidR="00E876EF">
        <w:rPr>
          <w:sz w:val="20"/>
          <w:lang w:val="en-US"/>
        </w:rPr>
        <w:t xml:space="preserve">Common </w:t>
      </w:r>
      <w:r>
        <w:rPr>
          <w:sz w:val="20"/>
          <w:lang w:val="en-US"/>
        </w:rPr>
        <w:t xml:space="preserve">PHY </w:t>
      </w:r>
      <w:r w:rsidR="00A86111">
        <w:rPr>
          <w:sz w:val="20"/>
          <w:lang w:val="en-US"/>
        </w:rPr>
        <w:t>signaling</w:t>
      </w:r>
      <w:r>
        <w:rPr>
          <w:sz w:val="20"/>
          <w:lang w:val="en-US"/>
        </w:rPr>
        <w:t xml:space="preserve"> such as common DCI/PDCCH</w:t>
      </w:r>
    </w:p>
    <w:p w14:paraId="344191F1" w14:textId="2498293C" w:rsidR="00880EDF" w:rsidRDefault="00880EDF" w:rsidP="00F252A8">
      <w:pPr>
        <w:spacing w:after="0"/>
        <w:rPr>
          <w:lang w:val="en-US"/>
        </w:rPr>
      </w:pPr>
    </w:p>
    <w:p w14:paraId="4AFD5909" w14:textId="0FD5817C" w:rsidR="0091191F" w:rsidRDefault="0091191F" w:rsidP="00E876EF">
      <w:pPr>
        <w:rPr>
          <w:lang w:val="en-US"/>
        </w:rPr>
      </w:pPr>
      <w:r>
        <w:rPr>
          <w:lang w:val="en-US"/>
        </w:rPr>
        <w:t xml:space="preserve">MBSFN configuration used in LTE </w:t>
      </w:r>
      <w:r w:rsidR="00F252A8">
        <w:rPr>
          <w:lang w:val="en-US"/>
        </w:rPr>
        <w:t>can be seen as</w:t>
      </w:r>
      <w:r>
        <w:rPr>
          <w:lang w:val="en-US"/>
        </w:rPr>
        <w:t xml:space="preserve"> an example of Option #1. It can be u</w:t>
      </w:r>
      <w:r w:rsidR="005D585A">
        <w:rPr>
          <w:lang w:val="en-US"/>
        </w:rPr>
        <w:t>sed only for scenarios where the forward compatibility needs are semi-static</w:t>
      </w:r>
      <w:r w:rsidR="00E876EF">
        <w:rPr>
          <w:lang w:val="en-US"/>
        </w:rPr>
        <w:t xml:space="preserve"> and </w:t>
      </w:r>
      <w:r w:rsidR="00681FDC">
        <w:rPr>
          <w:lang w:val="en-US"/>
        </w:rPr>
        <w:t xml:space="preserve">it </w:t>
      </w:r>
      <w:r w:rsidR="005D585A">
        <w:rPr>
          <w:lang w:val="en-US"/>
        </w:rPr>
        <w:t xml:space="preserve">is sub-optimal for scenarios where the </w:t>
      </w:r>
      <w:r w:rsidR="00E876EF">
        <w:rPr>
          <w:lang w:val="en-US"/>
        </w:rPr>
        <w:t>new transmission type utilizing the forward compatible resource reservation is of dynamic nature</w:t>
      </w:r>
      <w:r w:rsidR="00681FDC">
        <w:rPr>
          <w:lang w:val="en-US"/>
        </w:rPr>
        <w:t>.</w:t>
      </w:r>
      <w:r w:rsidR="008B13E9">
        <w:rPr>
          <w:lang w:val="en-US"/>
        </w:rPr>
        <w:t xml:space="preserve"> </w:t>
      </w:r>
      <w:r w:rsidR="00E876EF">
        <w:rPr>
          <w:lang w:val="en-US"/>
        </w:rPr>
        <w:t xml:space="preserve">The earlier RAN1 agreement already states that at least RRC signaling will be used, RAN1 did not take any stand on whether the signaling should be common or dedicated. </w:t>
      </w:r>
      <w:r>
        <w:rPr>
          <w:lang w:val="en-US"/>
        </w:rPr>
        <w:t xml:space="preserve">For example, </w:t>
      </w:r>
      <w:r w:rsidR="00E876EF">
        <w:rPr>
          <w:lang w:val="en-US"/>
        </w:rPr>
        <w:t xml:space="preserve">common higher layer semi-static configuration could </w:t>
      </w:r>
      <w:r w:rsidR="008B13E9">
        <w:rPr>
          <w:lang w:val="en-US"/>
        </w:rPr>
        <w:t xml:space="preserve">be used to </w:t>
      </w:r>
      <w:r w:rsidR="00E876EF">
        <w:rPr>
          <w:lang w:val="en-US"/>
        </w:rPr>
        <w:t xml:space="preserve">define the spectrum edge with a higher granularity than one PRB </w:t>
      </w:r>
      <w:r w:rsidR="008B13E9">
        <w:rPr>
          <w:lang w:val="en-US"/>
        </w:rPr>
        <w:t xml:space="preserve">as shown in Figure </w:t>
      </w:r>
      <w:r w:rsidR="00D37720">
        <w:rPr>
          <w:lang w:val="en-US"/>
        </w:rPr>
        <w:t>3</w:t>
      </w:r>
      <w:r w:rsidR="008B13E9">
        <w:rPr>
          <w:lang w:val="en-US"/>
        </w:rPr>
        <w:t>.</w:t>
      </w:r>
    </w:p>
    <w:p w14:paraId="5193DD61" w14:textId="433936B1" w:rsidR="006E1D43" w:rsidRDefault="006E1D43" w:rsidP="006E1D43">
      <w:pPr>
        <w:rPr>
          <w:i/>
        </w:rPr>
      </w:pPr>
      <w:r>
        <w:rPr>
          <w:b/>
          <w:i/>
        </w:rPr>
        <w:t>Observation</w:t>
      </w:r>
      <w:r w:rsidRPr="00367367">
        <w:rPr>
          <w:b/>
          <w:i/>
        </w:rPr>
        <w:t xml:space="preserve"> #</w:t>
      </w:r>
      <w:r w:rsidR="00E876EF">
        <w:rPr>
          <w:b/>
          <w:i/>
        </w:rPr>
        <w:t>2</w:t>
      </w:r>
      <w:r>
        <w:t xml:space="preserve">: </w:t>
      </w:r>
      <w:r>
        <w:rPr>
          <w:i/>
        </w:rPr>
        <w:t xml:space="preserve">Common higher layer signalling can be used for </w:t>
      </w:r>
      <w:r w:rsidR="00E876EF">
        <w:rPr>
          <w:i/>
        </w:rPr>
        <w:t>indicating reserved resources at least in some scenarios</w:t>
      </w:r>
    </w:p>
    <w:p w14:paraId="7F5CFE23" w14:textId="77777777" w:rsidR="006E1D43" w:rsidRPr="000D33BD" w:rsidRDefault="006E1D43" w:rsidP="0091191F"/>
    <w:p w14:paraId="371DF6D1" w14:textId="69142E4E" w:rsidR="00542249" w:rsidRDefault="00542249" w:rsidP="00542249">
      <w:pPr>
        <w:jc w:val="center"/>
        <w:rPr>
          <w:lang w:val="en-US"/>
        </w:rPr>
      </w:pPr>
      <w:r w:rsidRPr="00542249">
        <w:rPr>
          <w:noProof/>
          <w:lang w:val="en-US"/>
        </w:rPr>
        <w:lastRenderedPageBreak/>
        <w:drawing>
          <wp:inline distT="0" distB="0" distL="0" distR="0" wp14:anchorId="7DFBBCAA" wp14:editId="4B1E7F5A">
            <wp:extent cx="3310235" cy="1678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186" cy="1683702"/>
                    </a:xfrm>
                    <a:prstGeom prst="rect">
                      <a:avLst/>
                    </a:prstGeom>
                    <a:noFill/>
                    <a:ln>
                      <a:noFill/>
                    </a:ln>
                  </pic:spPr>
                </pic:pic>
              </a:graphicData>
            </a:graphic>
          </wp:inline>
        </w:drawing>
      </w:r>
    </w:p>
    <w:p w14:paraId="0D876317" w14:textId="356CDDCB" w:rsidR="008B13E9" w:rsidRDefault="008B13E9" w:rsidP="008B13E9">
      <w:pPr>
        <w:pStyle w:val="Caption"/>
        <w:spacing w:after="0"/>
        <w:jc w:val="center"/>
        <w:rPr>
          <w:lang w:val="en-US"/>
        </w:rPr>
      </w:pPr>
      <w:r>
        <w:t xml:space="preserve">Figure </w:t>
      </w:r>
      <w:r>
        <w:fldChar w:fldCharType="begin"/>
      </w:r>
      <w:r>
        <w:instrText xml:space="preserve"> SEQ Figure \* ARABIC </w:instrText>
      </w:r>
      <w:r>
        <w:fldChar w:fldCharType="separate"/>
      </w:r>
      <w:r w:rsidR="00D37720">
        <w:rPr>
          <w:noProof/>
        </w:rPr>
        <w:t>3</w:t>
      </w:r>
      <w:r>
        <w:rPr>
          <w:noProof/>
        </w:rPr>
        <w:fldChar w:fldCharType="end"/>
      </w:r>
      <w:r w:rsidRPr="004C0C49">
        <w:rPr>
          <w:lang w:val="en-US"/>
        </w:rPr>
        <w:t xml:space="preserve">. </w:t>
      </w:r>
      <w:r w:rsidR="00D37720">
        <w:rPr>
          <w:lang w:val="en-US"/>
        </w:rPr>
        <w:t>Exemplary scenarios for forward compatible resource reservation.</w:t>
      </w:r>
    </w:p>
    <w:p w14:paraId="45C0B909" w14:textId="77777777" w:rsidR="008B13E9" w:rsidRDefault="008B13E9" w:rsidP="00542249">
      <w:pPr>
        <w:jc w:val="center"/>
        <w:rPr>
          <w:lang w:val="en-US"/>
        </w:rPr>
      </w:pPr>
    </w:p>
    <w:p w14:paraId="169552E2" w14:textId="5182B400" w:rsidR="008B13E9" w:rsidRDefault="00E876EF" w:rsidP="008B13E9">
      <w:pPr>
        <w:spacing w:after="0"/>
      </w:pPr>
      <w:r>
        <w:rPr>
          <w:lang w:val="en-US"/>
        </w:rPr>
        <w:t xml:space="preserve">Group </w:t>
      </w:r>
      <w:r w:rsidR="008B13E9">
        <w:rPr>
          <w:lang w:val="en-US"/>
        </w:rPr>
        <w:t xml:space="preserve">Common </w:t>
      </w:r>
      <w:r>
        <w:rPr>
          <w:lang w:val="en-US"/>
        </w:rPr>
        <w:t xml:space="preserve">PDCCH could be used to define </w:t>
      </w:r>
      <w:r w:rsidR="008B13E9">
        <w:rPr>
          <w:lang w:val="en-US"/>
        </w:rPr>
        <w:t>Option #2</w:t>
      </w:r>
      <w:r>
        <w:rPr>
          <w:lang w:val="en-US"/>
        </w:rPr>
        <w:t xml:space="preserve"> type solution</w:t>
      </w:r>
      <w:r w:rsidR="008B13E9">
        <w:t xml:space="preserve">. </w:t>
      </w:r>
      <w:r w:rsidR="00681FDC">
        <w:t>Generally speaking, it can be</w:t>
      </w:r>
      <w:r w:rsidR="008B13E9">
        <w:t xml:space="preserve"> noted that </w:t>
      </w:r>
      <w:r>
        <w:t xml:space="preserve">Group </w:t>
      </w:r>
      <w:r w:rsidR="008B13E9">
        <w:t xml:space="preserve">Common </w:t>
      </w:r>
      <w:r>
        <w:t>PDCCH</w:t>
      </w:r>
      <w:r w:rsidR="008B13E9">
        <w:t xml:space="preserve"> does not suit very well for indicating </w:t>
      </w:r>
      <w:r>
        <w:t>forward compatible resources</w:t>
      </w:r>
      <w:r w:rsidR="008B13E9">
        <w:t>. The problems of this approach include:</w:t>
      </w:r>
    </w:p>
    <w:p w14:paraId="0C4B9770" w14:textId="6F97738F" w:rsidR="0091191F" w:rsidRPr="008B13E9" w:rsidRDefault="008B13E9" w:rsidP="008B13E9">
      <w:pPr>
        <w:pStyle w:val="ListParagraph"/>
        <w:numPr>
          <w:ilvl w:val="0"/>
          <w:numId w:val="19"/>
        </w:numPr>
        <w:rPr>
          <w:lang w:val="en-US"/>
        </w:rPr>
      </w:pPr>
      <w:r>
        <w:rPr>
          <w:sz w:val="20"/>
          <w:lang w:val="en-US"/>
        </w:rPr>
        <w:t xml:space="preserve">Relatively high </w:t>
      </w:r>
      <w:r w:rsidR="00681FDC">
        <w:rPr>
          <w:sz w:val="20"/>
          <w:lang w:val="en-US"/>
        </w:rPr>
        <w:t>signaling</w:t>
      </w:r>
      <w:r>
        <w:rPr>
          <w:sz w:val="20"/>
          <w:lang w:val="en-US"/>
        </w:rPr>
        <w:t xml:space="preserve"> overhead</w:t>
      </w:r>
    </w:p>
    <w:p w14:paraId="70D99AC1" w14:textId="0ABAFD44" w:rsidR="008B13E9" w:rsidRPr="008B13E9" w:rsidRDefault="00681FDC" w:rsidP="008B13E9">
      <w:pPr>
        <w:pStyle w:val="ListParagraph"/>
        <w:numPr>
          <w:ilvl w:val="0"/>
          <w:numId w:val="19"/>
        </w:numPr>
        <w:rPr>
          <w:lang w:val="en-US"/>
        </w:rPr>
      </w:pPr>
      <w:r>
        <w:rPr>
          <w:sz w:val="20"/>
          <w:lang w:val="en-US"/>
        </w:rPr>
        <w:t>Additional UE burden</w:t>
      </w:r>
      <w:r w:rsidR="008B13E9">
        <w:rPr>
          <w:sz w:val="20"/>
          <w:lang w:val="en-US"/>
        </w:rPr>
        <w:t xml:space="preserve"> to detect common DCI</w:t>
      </w:r>
    </w:p>
    <w:p w14:paraId="59D09C35" w14:textId="4EF2AB3F" w:rsidR="008B13E9" w:rsidRPr="008B13E9" w:rsidRDefault="008B13E9" w:rsidP="008B13E9">
      <w:pPr>
        <w:pStyle w:val="ListParagraph"/>
        <w:numPr>
          <w:ilvl w:val="0"/>
          <w:numId w:val="19"/>
        </w:numPr>
        <w:rPr>
          <w:lang w:val="en-US"/>
        </w:rPr>
      </w:pPr>
      <w:r>
        <w:rPr>
          <w:sz w:val="20"/>
          <w:lang w:val="en-US"/>
        </w:rPr>
        <w:t xml:space="preserve">Error cases. For example, </w:t>
      </w:r>
      <w:r w:rsidR="00681FDC">
        <w:rPr>
          <w:sz w:val="20"/>
          <w:lang w:val="en-US"/>
        </w:rPr>
        <w:t xml:space="preserve">the </w:t>
      </w:r>
      <w:r>
        <w:rPr>
          <w:sz w:val="20"/>
          <w:lang w:val="en-US"/>
        </w:rPr>
        <w:t xml:space="preserve">UE may not </w:t>
      </w:r>
      <w:r w:rsidR="00D26F8C">
        <w:rPr>
          <w:sz w:val="20"/>
          <w:lang w:val="en-US"/>
        </w:rPr>
        <w:t xml:space="preserve">always </w:t>
      </w:r>
      <w:r>
        <w:rPr>
          <w:sz w:val="20"/>
          <w:lang w:val="en-US"/>
        </w:rPr>
        <w:t xml:space="preserve">detect common DCI properly. </w:t>
      </w:r>
    </w:p>
    <w:p w14:paraId="1E519094" w14:textId="77777777" w:rsidR="00E876EF" w:rsidRDefault="00E876EF" w:rsidP="008B13E9">
      <w:pPr>
        <w:rPr>
          <w:lang w:val="en-US"/>
        </w:rPr>
      </w:pPr>
    </w:p>
    <w:p w14:paraId="20F06ABC" w14:textId="504C687E" w:rsidR="008B13E9" w:rsidRPr="008B13E9" w:rsidRDefault="008B13E9" w:rsidP="008B13E9">
      <w:pPr>
        <w:rPr>
          <w:lang w:val="en-US"/>
        </w:rPr>
      </w:pPr>
      <w:r>
        <w:rPr>
          <w:lang w:val="en-US"/>
        </w:rPr>
        <w:t xml:space="preserve">Based on those arguments, it can be concluded that </w:t>
      </w:r>
      <w:r w:rsidR="00E876EF">
        <w:rPr>
          <w:lang w:val="en-US"/>
        </w:rPr>
        <w:t xml:space="preserve">group common PDCCH </w:t>
      </w:r>
      <w:r w:rsidRPr="008B13E9">
        <w:rPr>
          <w:lang w:val="en-US"/>
        </w:rPr>
        <w:t>has only limited opportunities for i</w:t>
      </w:r>
      <w:r w:rsidR="00E876EF">
        <w:rPr>
          <w:lang w:val="en-US"/>
        </w:rPr>
        <w:t>ndicating forward compatible resources</w:t>
      </w:r>
    </w:p>
    <w:p w14:paraId="49EF54F6" w14:textId="15F41814" w:rsidR="008B13E9" w:rsidRDefault="008B13E9" w:rsidP="00C731AD">
      <w:r>
        <w:rPr>
          <w:b/>
          <w:i/>
        </w:rPr>
        <w:t>Observation</w:t>
      </w:r>
      <w:r w:rsidRPr="00367367">
        <w:rPr>
          <w:b/>
          <w:i/>
        </w:rPr>
        <w:t xml:space="preserve"> #</w:t>
      </w:r>
      <w:r w:rsidR="00E876EF">
        <w:rPr>
          <w:b/>
          <w:i/>
        </w:rPr>
        <w:t>3</w:t>
      </w:r>
      <w:r>
        <w:t xml:space="preserve">: </w:t>
      </w:r>
      <w:r w:rsidR="00E876EF">
        <w:rPr>
          <w:i/>
        </w:rPr>
        <w:t>Group common PDCCH</w:t>
      </w:r>
      <w:r w:rsidR="006E1D43">
        <w:rPr>
          <w:i/>
        </w:rPr>
        <w:t xml:space="preserve"> </w:t>
      </w:r>
      <w:r>
        <w:rPr>
          <w:i/>
        </w:rPr>
        <w:t xml:space="preserve">signalling has only limited opportunities for indicating </w:t>
      </w:r>
      <w:r w:rsidR="00E876EF">
        <w:rPr>
          <w:i/>
        </w:rPr>
        <w:t>forward compatible resources</w:t>
      </w:r>
    </w:p>
    <w:p w14:paraId="3A23703A" w14:textId="77777777" w:rsidR="008B13E9" w:rsidRDefault="008B13E9" w:rsidP="00C731AD">
      <w:pPr>
        <w:pStyle w:val="Heading2"/>
        <w:rPr>
          <w:sz w:val="24"/>
          <w:szCs w:val="24"/>
        </w:rPr>
      </w:pPr>
    </w:p>
    <w:p w14:paraId="567AFB1E" w14:textId="29067702" w:rsidR="00C731AD" w:rsidRPr="00C731AD" w:rsidRDefault="00E876EF" w:rsidP="00C731AD">
      <w:pPr>
        <w:pStyle w:val="Heading2"/>
        <w:rPr>
          <w:sz w:val="24"/>
          <w:szCs w:val="24"/>
        </w:rPr>
      </w:pPr>
      <w:r>
        <w:rPr>
          <w:sz w:val="24"/>
          <w:szCs w:val="24"/>
        </w:rPr>
        <w:t>3</w:t>
      </w:r>
      <w:r w:rsidR="00C731AD" w:rsidRPr="00C731AD">
        <w:rPr>
          <w:sz w:val="24"/>
          <w:szCs w:val="24"/>
        </w:rPr>
        <w:t>.</w:t>
      </w:r>
      <w:r w:rsidR="00C731AD">
        <w:rPr>
          <w:sz w:val="24"/>
          <w:szCs w:val="24"/>
        </w:rPr>
        <w:t>2</w:t>
      </w:r>
      <w:r w:rsidR="00C731AD" w:rsidRPr="00C731AD">
        <w:rPr>
          <w:sz w:val="24"/>
          <w:szCs w:val="24"/>
        </w:rPr>
        <w:t xml:space="preserve"> </w:t>
      </w:r>
      <w:r w:rsidR="00C731AD" w:rsidRPr="00C731AD">
        <w:rPr>
          <w:sz w:val="24"/>
          <w:szCs w:val="24"/>
        </w:rPr>
        <w:tab/>
      </w:r>
      <w:r w:rsidR="00C731AD">
        <w:rPr>
          <w:sz w:val="24"/>
          <w:szCs w:val="24"/>
        </w:rPr>
        <w:t>Dedicated signalling</w:t>
      </w:r>
    </w:p>
    <w:p w14:paraId="18975D37" w14:textId="3E1C1CF8" w:rsidR="00A91244" w:rsidRDefault="00CD28F0" w:rsidP="00A91244">
      <w:pPr>
        <w:spacing w:after="0"/>
        <w:rPr>
          <w:lang w:val="en-US"/>
        </w:rPr>
      </w:pPr>
      <w:r>
        <w:rPr>
          <w:lang w:val="en-US"/>
        </w:rPr>
        <w:t xml:space="preserve">In order to minimize the </w:t>
      </w:r>
      <w:r w:rsidR="00681FDC">
        <w:rPr>
          <w:lang w:val="en-US"/>
        </w:rPr>
        <w:t>signaling</w:t>
      </w:r>
      <w:r>
        <w:rPr>
          <w:lang w:val="en-US"/>
        </w:rPr>
        <w:t xml:space="preserve"> burden</w:t>
      </w:r>
      <w:r w:rsidR="00681FDC">
        <w:rPr>
          <w:lang w:val="en-US"/>
        </w:rPr>
        <w:t xml:space="preserve">, </w:t>
      </w:r>
      <w:r>
        <w:rPr>
          <w:lang w:val="en-US"/>
        </w:rPr>
        <w:t xml:space="preserve">it makes sense to define </w:t>
      </w:r>
      <w:r w:rsidR="00D37720">
        <w:rPr>
          <w:lang w:val="en-US"/>
        </w:rPr>
        <w:t xml:space="preserve">the resource reservation </w:t>
      </w:r>
      <w:r>
        <w:rPr>
          <w:lang w:val="en-US"/>
        </w:rPr>
        <w:t xml:space="preserve">using </w:t>
      </w:r>
      <w:r w:rsidR="00681FDC">
        <w:rPr>
          <w:lang w:val="en-US"/>
        </w:rPr>
        <w:t xml:space="preserve">dedicated </w:t>
      </w:r>
      <w:r>
        <w:rPr>
          <w:lang w:val="en-US"/>
        </w:rPr>
        <w:t xml:space="preserve">higher layer </w:t>
      </w:r>
      <w:r w:rsidR="00681FDC">
        <w:rPr>
          <w:lang w:val="en-US"/>
        </w:rPr>
        <w:t>signaling</w:t>
      </w:r>
      <w:r>
        <w:rPr>
          <w:lang w:val="en-US"/>
        </w:rPr>
        <w:t>. T</w:t>
      </w:r>
      <w:r w:rsidR="00331DB6">
        <w:rPr>
          <w:lang w:val="en-US"/>
        </w:rPr>
        <w:t>his is a robust solution, which does not suffer from error cases</w:t>
      </w:r>
      <w:r w:rsidR="00D37720">
        <w:rPr>
          <w:lang w:val="en-US"/>
        </w:rPr>
        <w:t xml:space="preserve"> that broadcast signaling may bring</w:t>
      </w:r>
      <w:r w:rsidR="00331DB6">
        <w:rPr>
          <w:lang w:val="en-US"/>
        </w:rPr>
        <w:t>.</w:t>
      </w:r>
      <w:r w:rsidR="00D37720">
        <w:rPr>
          <w:lang w:val="en-US"/>
        </w:rPr>
        <w:t xml:space="preserve"> </w:t>
      </w:r>
      <w:r w:rsidR="001A02F6">
        <w:rPr>
          <w:lang w:val="en-US"/>
        </w:rPr>
        <w:t xml:space="preserve">Generally speaking, </w:t>
      </w:r>
      <w:r w:rsidR="00D37720">
        <w:rPr>
          <w:lang w:val="en-US"/>
        </w:rPr>
        <w:t>forward compatible resource reservation could</w:t>
      </w:r>
      <w:r w:rsidR="00681FDC">
        <w:rPr>
          <w:lang w:val="en-US"/>
        </w:rPr>
        <w:t xml:space="preserve"> be configured in </w:t>
      </w:r>
      <w:r w:rsidR="006E1D43">
        <w:rPr>
          <w:lang w:val="en-US"/>
        </w:rPr>
        <w:t>UE group/</w:t>
      </w:r>
      <w:r w:rsidR="00681FDC">
        <w:rPr>
          <w:lang w:val="en-US"/>
        </w:rPr>
        <w:t>UE/signal/channel –specific manner.</w:t>
      </w:r>
      <w:r w:rsidR="001A02F6">
        <w:rPr>
          <w:lang w:val="en-US"/>
        </w:rPr>
        <w:t xml:space="preserve"> </w:t>
      </w:r>
      <w:r w:rsidR="00331DB6">
        <w:rPr>
          <w:lang w:val="en-US"/>
        </w:rPr>
        <w:t xml:space="preserve">There can be also more than one configuration for an </w:t>
      </w:r>
      <w:r w:rsidR="006E1D43">
        <w:rPr>
          <w:lang w:val="en-US"/>
        </w:rPr>
        <w:t>UE group/</w:t>
      </w:r>
      <w:r w:rsidR="00331DB6">
        <w:rPr>
          <w:lang w:val="en-US"/>
        </w:rPr>
        <w:t xml:space="preserve">UE/channel/signal. </w:t>
      </w:r>
      <w:r w:rsidR="00A91244">
        <w:rPr>
          <w:lang w:val="en-US"/>
        </w:rPr>
        <w:t xml:space="preserve">The </w:t>
      </w:r>
      <w:r w:rsidR="00D37720">
        <w:rPr>
          <w:lang w:val="en-US"/>
        </w:rPr>
        <w:t>gNB</w:t>
      </w:r>
      <w:r w:rsidR="00331DB6">
        <w:rPr>
          <w:lang w:val="en-US"/>
        </w:rPr>
        <w:t xml:space="preserve"> </w:t>
      </w:r>
      <w:r w:rsidR="00644186">
        <w:rPr>
          <w:lang w:val="en-US"/>
        </w:rPr>
        <w:t xml:space="preserve">may select </w:t>
      </w:r>
      <w:r w:rsidR="00D26F8C">
        <w:rPr>
          <w:lang w:val="en-US"/>
        </w:rPr>
        <w:t xml:space="preserve">the </w:t>
      </w:r>
      <w:r w:rsidR="00644186">
        <w:rPr>
          <w:lang w:val="en-US"/>
        </w:rPr>
        <w:t>actual configuration</w:t>
      </w:r>
      <w:r w:rsidR="00692814">
        <w:rPr>
          <w:lang w:val="en-US"/>
        </w:rPr>
        <w:t xml:space="preserve"> </w:t>
      </w:r>
      <w:r w:rsidR="00D37720">
        <w:rPr>
          <w:lang w:val="en-US"/>
        </w:rPr>
        <w:t xml:space="preserve">to be applied </w:t>
      </w:r>
      <w:r w:rsidR="00D26F8C">
        <w:rPr>
          <w:lang w:val="en-US"/>
        </w:rPr>
        <w:t xml:space="preserve">by </w:t>
      </w:r>
      <w:r w:rsidR="00D37720">
        <w:rPr>
          <w:lang w:val="en-US"/>
        </w:rPr>
        <w:t xml:space="preserve">using </w:t>
      </w:r>
      <w:r w:rsidR="00D26F8C">
        <w:rPr>
          <w:lang w:val="en-US"/>
        </w:rPr>
        <w:t xml:space="preserve">DCI </w:t>
      </w:r>
      <w:r w:rsidR="00644186">
        <w:rPr>
          <w:lang w:val="en-US"/>
        </w:rPr>
        <w:t xml:space="preserve">based on the instantaneous </w:t>
      </w:r>
      <w:r w:rsidR="00D37720">
        <w:rPr>
          <w:lang w:val="en-US"/>
        </w:rPr>
        <w:t>forward compatible resource usage by the new transmission needs</w:t>
      </w:r>
      <w:r w:rsidR="00644186">
        <w:rPr>
          <w:lang w:val="en-US"/>
        </w:rPr>
        <w:t>.</w:t>
      </w:r>
      <w:r w:rsidR="00B15B89">
        <w:rPr>
          <w:lang w:val="en-US"/>
        </w:rPr>
        <w:t xml:space="preserve"> </w:t>
      </w:r>
      <w:r w:rsidR="00D37720">
        <w:rPr>
          <w:lang w:val="en-US"/>
        </w:rPr>
        <w:t>The reserved resources</w:t>
      </w:r>
      <w:r w:rsidR="00B15B89">
        <w:rPr>
          <w:lang w:val="en-US"/>
        </w:rPr>
        <w:t xml:space="preserve"> can be defined e.g. using the PRB resolution corresponding to minimum subcarrier spacing.</w:t>
      </w:r>
      <w:r w:rsidR="00644186">
        <w:rPr>
          <w:lang w:val="en-US"/>
        </w:rPr>
        <w:t xml:space="preserve"> </w:t>
      </w:r>
      <w:r w:rsidR="00A91244">
        <w:rPr>
          <w:lang w:val="en-US"/>
        </w:rPr>
        <w:t>Figure 4, shows two</w:t>
      </w:r>
      <w:r w:rsidR="00A91244" w:rsidRPr="00A91244">
        <w:rPr>
          <w:lang w:val="en-US"/>
        </w:rPr>
        <w:t xml:space="preserve"> </w:t>
      </w:r>
      <w:r w:rsidR="00D37720">
        <w:rPr>
          <w:lang w:val="en-US"/>
        </w:rPr>
        <w:t>exemplary</w:t>
      </w:r>
      <w:r w:rsidR="00A91244" w:rsidRPr="00A91244">
        <w:rPr>
          <w:lang w:val="en-US"/>
        </w:rPr>
        <w:t xml:space="preserve"> con</w:t>
      </w:r>
      <w:r w:rsidR="00A91244">
        <w:rPr>
          <w:lang w:val="en-US"/>
        </w:rPr>
        <w:t>figurations</w:t>
      </w:r>
      <w:r w:rsidR="00304A1B">
        <w:rPr>
          <w:lang w:val="en-US"/>
        </w:rPr>
        <w:t xml:space="preserve">, which could apply e.g. to </w:t>
      </w:r>
      <w:r w:rsidR="005A519A">
        <w:rPr>
          <w:lang w:val="en-US"/>
        </w:rPr>
        <w:t>PDSCH detection</w:t>
      </w:r>
      <w:r w:rsidR="00304A1B">
        <w:rPr>
          <w:lang w:val="en-US"/>
        </w:rPr>
        <w:t>.</w:t>
      </w:r>
      <w:r w:rsidR="005A519A">
        <w:rPr>
          <w:lang w:val="en-US"/>
        </w:rPr>
        <w:t xml:space="preserve"> </w:t>
      </w:r>
    </w:p>
    <w:p w14:paraId="33840FE1" w14:textId="73DD7DA2" w:rsidR="005A519A" w:rsidRPr="005A519A" w:rsidRDefault="005A519A" w:rsidP="005A519A">
      <w:pPr>
        <w:pStyle w:val="ListParagraph"/>
        <w:numPr>
          <w:ilvl w:val="0"/>
          <w:numId w:val="20"/>
        </w:numPr>
        <w:rPr>
          <w:lang w:val="en-US"/>
        </w:rPr>
      </w:pPr>
      <w:r>
        <w:rPr>
          <w:sz w:val="20"/>
          <w:lang w:val="en-US"/>
        </w:rPr>
        <w:t xml:space="preserve">Config #0 corresponds to the case where </w:t>
      </w:r>
      <w:r w:rsidR="00D37720">
        <w:rPr>
          <w:sz w:val="20"/>
          <w:lang w:val="en-US"/>
        </w:rPr>
        <w:t>forward compatible resources were indicated as not set aside as reserved for some other use</w:t>
      </w:r>
    </w:p>
    <w:p w14:paraId="32585517" w14:textId="5F91F669" w:rsidR="005A519A" w:rsidRPr="005A519A" w:rsidRDefault="005A519A" w:rsidP="005A519A">
      <w:pPr>
        <w:pStyle w:val="ListParagraph"/>
        <w:numPr>
          <w:ilvl w:val="0"/>
          <w:numId w:val="20"/>
        </w:numPr>
        <w:rPr>
          <w:lang w:val="en-US"/>
        </w:rPr>
      </w:pPr>
      <w:r>
        <w:rPr>
          <w:sz w:val="20"/>
          <w:lang w:val="en-US"/>
        </w:rPr>
        <w:t xml:space="preserve">Config #1 is used when </w:t>
      </w:r>
      <w:r w:rsidR="00D37720">
        <w:rPr>
          <w:sz w:val="20"/>
          <w:lang w:val="en-US"/>
        </w:rPr>
        <w:t>two predefined PRBs are set aside for some other use by invoking the forward compatible resource reservation</w:t>
      </w:r>
    </w:p>
    <w:p w14:paraId="1ECA4370" w14:textId="77777777" w:rsidR="00A91244" w:rsidRDefault="00A91244" w:rsidP="00C731AD">
      <w:pPr>
        <w:spacing w:after="0"/>
        <w:rPr>
          <w:lang w:val="en-US"/>
        </w:rPr>
      </w:pPr>
    </w:p>
    <w:p w14:paraId="68781B04" w14:textId="1631920B" w:rsidR="00A91244" w:rsidRDefault="00A91244" w:rsidP="00A91244">
      <w:pPr>
        <w:spacing w:after="0"/>
        <w:jc w:val="center"/>
        <w:rPr>
          <w:lang w:val="en-US"/>
        </w:rPr>
      </w:pPr>
      <w:r w:rsidRPr="00A91244">
        <w:rPr>
          <w:noProof/>
          <w:lang w:val="en-US"/>
        </w:rPr>
        <w:drawing>
          <wp:inline distT="0" distB="0" distL="0" distR="0" wp14:anchorId="4F98C672" wp14:editId="230BDCD2">
            <wp:extent cx="1582835" cy="20742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2306" cy="2086647"/>
                    </a:xfrm>
                    <a:prstGeom prst="rect">
                      <a:avLst/>
                    </a:prstGeom>
                    <a:noFill/>
                    <a:ln>
                      <a:noFill/>
                    </a:ln>
                  </pic:spPr>
                </pic:pic>
              </a:graphicData>
            </a:graphic>
          </wp:inline>
        </w:drawing>
      </w:r>
    </w:p>
    <w:p w14:paraId="605BEF05" w14:textId="6DDAEABD" w:rsidR="00A91244" w:rsidRDefault="00A91244" w:rsidP="00A91244">
      <w:pPr>
        <w:pStyle w:val="Caption"/>
        <w:spacing w:after="0"/>
        <w:jc w:val="center"/>
        <w:rPr>
          <w:lang w:val="en-US"/>
        </w:rPr>
      </w:pPr>
      <w:r>
        <w:t xml:space="preserve">Figure </w:t>
      </w:r>
      <w:r>
        <w:fldChar w:fldCharType="begin"/>
      </w:r>
      <w:r>
        <w:instrText xml:space="preserve"> SEQ Figure \* ARABIC </w:instrText>
      </w:r>
      <w:r>
        <w:fldChar w:fldCharType="separate"/>
      </w:r>
      <w:r w:rsidR="00D37720">
        <w:rPr>
          <w:noProof/>
        </w:rPr>
        <w:t>4</w:t>
      </w:r>
      <w:r>
        <w:rPr>
          <w:noProof/>
        </w:rPr>
        <w:fldChar w:fldCharType="end"/>
      </w:r>
      <w:r w:rsidRPr="004C0C49">
        <w:rPr>
          <w:lang w:val="en-US"/>
        </w:rPr>
        <w:t xml:space="preserve">. </w:t>
      </w:r>
      <w:r>
        <w:rPr>
          <w:lang w:val="en-US"/>
        </w:rPr>
        <w:t>Example with multiple FCR configurations</w:t>
      </w:r>
    </w:p>
    <w:p w14:paraId="62B15D44" w14:textId="77777777" w:rsidR="00A91244" w:rsidRDefault="00A91244" w:rsidP="00C731AD">
      <w:pPr>
        <w:spacing w:after="0"/>
        <w:rPr>
          <w:lang w:val="en-US"/>
        </w:rPr>
      </w:pPr>
    </w:p>
    <w:p w14:paraId="379933DC" w14:textId="77777777" w:rsidR="00331DB6" w:rsidRDefault="00331DB6" w:rsidP="00C731AD">
      <w:pPr>
        <w:spacing w:after="0"/>
        <w:rPr>
          <w:lang w:val="en-US"/>
        </w:rPr>
      </w:pPr>
    </w:p>
    <w:p w14:paraId="24FA0BCD" w14:textId="58B86612" w:rsidR="00331DB6" w:rsidRDefault="00331DB6" w:rsidP="00331DB6">
      <w:pPr>
        <w:rPr>
          <w:i/>
        </w:rPr>
      </w:pPr>
      <w:r>
        <w:rPr>
          <w:b/>
          <w:i/>
        </w:rPr>
        <w:t>Proposal</w:t>
      </w:r>
      <w:r w:rsidRPr="00367367">
        <w:rPr>
          <w:b/>
          <w:i/>
        </w:rPr>
        <w:t xml:space="preserve"> #</w:t>
      </w:r>
      <w:r w:rsidR="00CB015F">
        <w:rPr>
          <w:b/>
          <w:i/>
        </w:rPr>
        <w:t>1</w:t>
      </w:r>
      <w:r>
        <w:t xml:space="preserve">: </w:t>
      </w:r>
      <w:r w:rsidR="00CB015F">
        <w:rPr>
          <w:i/>
        </w:rPr>
        <w:t>Introduce UE-specific RRC signalling for configuring the UE with forward compatible resources</w:t>
      </w:r>
    </w:p>
    <w:p w14:paraId="10D62424" w14:textId="3EA95C37" w:rsidR="00CB015F" w:rsidRDefault="00331DB6" w:rsidP="00331DB6">
      <w:pPr>
        <w:rPr>
          <w:i/>
        </w:rPr>
      </w:pPr>
      <w:r>
        <w:rPr>
          <w:b/>
          <w:i/>
        </w:rPr>
        <w:t>Proposal</w:t>
      </w:r>
      <w:r w:rsidRPr="00367367">
        <w:rPr>
          <w:b/>
          <w:i/>
        </w:rPr>
        <w:t xml:space="preserve"> #</w:t>
      </w:r>
      <w:r w:rsidR="00CB015F">
        <w:rPr>
          <w:b/>
          <w:i/>
        </w:rPr>
        <w:t>2</w:t>
      </w:r>
      <w:r>
        <w:t xml:space="preserve">: </w:t>
      </w:r>
      <w:r w:rsidR="00CB015F">
        <w:rPr>
          <w:i/>
        </w:rPr>
        <w:t>Allow for multiple different forward compatible resource configurations</w:t>
      </w:r>
    </w:p>
    <w:p w14:paraId="02438E77" w14:textId="321E17AF" w:rsidR="00CB015F" w:rsidRPr="00CB015F" w:rsidRDefault="00CB015F" w:rsidP="00331DB6">
      <w:pPr>
        <w:rPr>
          <w:b/>
          <w:i/>
        </w:rPr>
      </w:pPr>
      <w:r>
        <w:rPr>
          <w:b/>
          <w:i/>
        </w:rPr>
        <w:t xml:space="preserve">Proposal #3: </w:t>
      </w:r>
      <w:r>
        <w:rPr>
          <w:i/>
        </w:rPr>
        <w:t>Each configuration defines a frequency allocation, start time, duration, periodicity and link direction of the reserved resource</w:t>
      </w:r>
    </w:p>
    <w:p w14:paraId="4B78DDB2" w14:textId="74323297" w:rsidR="00CB015F" w:rsidRPr="00CB015F" w:rsidRDefault="00CB015F" w:rsidP="00331DB6">
      <w:pPr>
        <w:rPr>
          <w:i/>
          <w:lang w:val="en-US"/>
        </w:rPr>
      </w:pPr>
      <w:r>
        <w:rPr>
          <w:b/>
          <w:i/>
        </w:rPr>
        <w:t>Proposal #4</w:t>
      </w:r>
      <w:r>
        <w:rPr>
          <w:i/>
          <w:lang w:val="en-US"/>
        </w:rPr>
        <w:t>:</w:t>
      </w:r>
      <w:r w:rsidR="005A519A">
        <w:rPr>
          <w:i/>
          <w:lang w:val="en-US"/>
        </w:rPr>
        <w:t xml:space="preserve"> </w:t>
      </w:r>
      <w:r>
        <w:rPr>
          <w:i/>
          <w:lang w:val="en-US"/>
        </w:rPr>
        <w:t>Introduce a field in the DCI selecting which of the configured forward compatible resource configurations is to be activated</w:t>
      </w:r>
    </w:p>
    <w:p w14:paraId="6ABDAF04" w14:textId="7A5D0A36" w:rsidR="0034111C" w:rsidRPr="00A51522" w:rsidRDefault="00CB015F">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74F2AB89" w14:textId="7D939EE3" w:rsidR="00731B79" w:rsidRDefault="003D3FBA" w:rsidP="00731B79">
      <w:pPr>
        <w:spacing w:after="120"/>
        <w:ind w:right="1038"/>
        <w:jc w:val="both"/>
        <w:rPr>
          <w:b/>
          <w:bCs/>
          <w:i/>
          <w:sz w:val="12"/>
        </w:rPr>
      </w:pPr>
      <w:r w:rsidRPr="00A51522">
        <w:t xml:space="preserve">In this contribution we have discussed </w:t>
      </w:r>
      <w:r w:rsidR="00731B79">
        <w:rPr>
          <w:bCs/>
        </w:rPr>
        <w:t xml:space="preserve">further details </w:t>
      </w:r>
      <w:r w:rsidR="0007208A">
        <w:rPr>
          <w:bCs/>
        </w:rPr>
        <w:t xml:space="preserve">for </w:t>
      </w:r>
      <w:r w:rsidR="00B15B89">
        <w:rPr>
          <w:bCs/>
        </w:rPr>
        <w:t xml:space="preserve">the scenarios and potential solutions </w:t>
      </w:r>
      <w:r w:rsidR="0007208A">
        <w:rPr>
          <w:bCs/>
        </w:rPr>
        <w:t>indicating forward compatibility resource</w:t>
      </w:r>
      <w:r w:rsidR="00CB015F">
        <w:rPr>
          <w:bCs/>
        </w:rPr>
        <w:t xml:space="preserve"> reservation</w:t>
      </w:r>
      <w:r w:rsidR="0007208A">
        <w:rPr>
          <w:bCs/>
        </w:rPr>
        <w:t>s</w:t>
      </w:r>
      <w:r w:rsidR="00731B79">
        <w:rPr>
          <w:bCs/>
        </w:rPr>
        <w:t>. Based on the discussion, we make the following proposals and observations:</w:t>
      </w:r>
      <w:r w:rsidR="00731B79" w:rsidRPr="00971592">
        <w:rPr>
          <w:b/>
          <w:bCs/>
          <w:i/>
          <w:sz w:val="12"/>
        </w:rPr>
        <w:t xml:space="preserve"> </w:t>
      </w:r>
    </w:p>
    <w:p w14:paraId="5E5DB5C6" w14:textId="77777777" w:rsidR="00CB015F" w:rsidRDefault="00CB015F" w:rsidP="00CB015F">
      <w:pPr>
        <w:spacing w:after="0"/>
        <w:rPr>
          <w:i/>
        </w:rPr>
      </w:pPr>
      <w:r>
        <w:rPr>
          <w:b/>
          <w:i/>
        </w:rPr>
        <w:t>Observation</w:t>
      </w:r>
      <w:r w:rsidRPr="00367367">
        <w:rPr>
          <w:b/>
          <w:i/>
        </w:rPr>
        <w:t xml:space="preserve"> #1</w:t>
      </w:r>
      <w:r>
        <w:t xml:space="preserve">: </w:t>
      </w:r>
      <w:r>
        <w:rPr>
          <w:i/>
        </w:rPr>
        <w:t>It should be possible to configure any DL/UL resource element as forward compatible resource with sufficiently high granularity and flexibility</w:t>
      </w:r>
    </w:p>
    <w:p w14:paraId="4C134605" w14:textId="77777777" w:rsidR="00CB015F" w:rsidRPr="009036BC" w:rsidRDefault="00CB015F" w:rsidP="00CB015F">
      <w:pPr>
        <w:spacing w:after="0"/>
        <w:rPr>
          <w:i/>
          <w:color w:val="C00000"/>
        </w:rPr>
      </w:pPr>
    </w:p>
    <w:p w14:paraId="0BBC8458" w14:textId="77777777" w:rsidR="00CB015F" w:rsidRDefault="00CB015F" w:rsidP="00CB015F">
      <w:pPr>
        <w:rPr>
          <w:i/>
        </w:rPr>
      </w:pPr>
      <w:r>
        <w:rPr>
          <w:b/>
          <w:i/>
        </w:rPr>
        <w:t>Observation</w:t>
      </w:r>
      <w:r w:rsidRPr="00367367">
        <w:rPr>
          <w:b/>
          <w:i/>
        </w:rPr>
        <w:t xml:space="preserve"> #</w:t>
      </w:r>
      <w:r>
        <w:rPr>
          <w:b/>
          <w:i/>
        </w:rPr>
        <w:t>2</w:t>
      </w:r>
      <w:r>
        <w:t xml:space="preserve">: </w:t>
      </w:r>
      <w:r>
        <w:rPr>
          <w:i/>
        </w:rPr>
        <w:t>Common higher layer signalling can be used for indicating reserved resources at least in some scenarios</w:t>
      </w:r>
    </w:p>
    <w:p w14:paraId="13EFB1F0" w14:textId="77777777" w:rsidR="00CB015F" w:rsidRDefault="00CB015F" w:rsidP="00CB015F">
      <w:r>
        <w:rPr>
          <w:b/>
          <w:i/>
        </w:rPr>
        <w:t>Observation</w:t>
      </w:r>
      <w:r w:rsidRPr="00367367">
        <w:rPr>
          <w:b/>
          <w:i/>
        </w:rPr>
        <w:t xml:space="preserve"> #</w:t>
      </w:r>
      <w:r>
        <w:rPr>
          <w:b/>
          <w:i/>
        </w:rPr>
        <w:t>3</w:t>
      </w:r>
      <w:r>
        <w:t xml:space="preserve">: </w:t>
      </w:r>
      <w:r>
        <w:rPr>
          <w:i/>
        </w:rPr>
        <w:t>Group common PDCCH signalling has only limited opportunities for indicating forward compatible resources</w:t>
      </w:r>
    </w:p>
    <w:p w14:paraId="234361FA" w14:textId="569AF09C" w:rsidR="00CB015F" w:rsidRDefault="00CB015F" w:rsidP="00731B79">
      <w:pPr>
        <w:spacing w:after="120"/>
        <w:ind w:right="1038"/>
        <w:jc w:val="both"/>
      </w:pPr>
    </w:p>
    <w:p w14:paraId="49CA8020" w14:textId="77777777" w:rsidR="00CB015F" w:rsidRDefault="00CB015F" w:rsidP="00CB015F">
      <w:pPr>
        <w:rPr>
          <w:i/>
        </w:rPr>
      </w:pPr>
      <w:r>
        <w:rPr>
          <w:b/>
          <w:i/>
        </w:rPr>
        <w:t>Proposal</w:t>
      </w:r>
      <w:r w:rsidRPr="00367367">
        <w:rPr>
          <w:b/>
          <w:i/>
        </w:rPr>
        <w:t xml:space="preserve"> #</w:t>
      </w:r>
      <w:r>
        <w:rPr>
          <w:b/>
          <w:i/>
        </w:rPr>
        <w:t>1</w:t>
      </w:r>
      <w:r>
        <w:t xml:space="preserve">: </w:t>
      </w:r>
      <w:r>
        <w:rPr>
          <w:i/>
        </w:rPr>
        <w:t>Introduce UE-specific RRC signalling for configuring the UE with forward compatible resources</w:t>
      </w:r>
    </w:p>
    <w:p w14:paraId="78A225E9" w14:textId="77777777" w:rsidR="00CB015F" w:rsidRDefault="00CB015F" w:rsidP="00CB015F">
      <w:pPr>
        <w:rPr>
          <w:i/>
        </w:rPr>
      </w:pPr>
      <w:r>
        <w:rPr>
          <w:b/>
          <w:i/>
        </w:rPr>
        <w:t>Proposal</w:t>
      </w:r>
      <w:r w:rsidRPr="00367367">
        <w:rPr>
          <w:b/>
          <w:i/>
        </w:rPr>
        <w:t xml:space="preserve"> #</w:t>
      </w:r>
      <w:r>
        <w:rPr>
          <w:b/>
          <w:i/>
        </w:rPr>
        <w:t>2</w:t>
      </w:r>
      <w:r>
        <w:t xml:space="preserve">: </w:t>
      </w:r>
      <w:r>
        <w:rPr>
          <w:i/>
        </w:rPr>
        <w:t>Allow for multiple different forward compatible resource configurations</w:t>
      </w:r>
    </w:p>
    <w:p w14:paraId="7F95571F" w14:textId="77777777" w:rsidR="00CB015F" w:rsidRPr="00CB015F" w:rsidRDefault="00CB015F" w:rsidP="00CB015F">
      <w:pPr>
        <w:rPr>
          <w:b/>
          <w:i/>
        </w:rPr>
      </w:pPr>
      <w:r>
        <w:rPr>
          <w:b/>
          <w:i/>
        </w:rPr>
        <w:t xml:space="preserve">Proposal #3: </w:t>
      </w:r>
      <w:r>
        <w:rPr>
          <w:i/>
        </w:rPr>
        <w:t>Each configuration defines a frequency allocation, start time, duration, periodicity and link direction of the reserved resource</w:t>
      </w:r>
    </w:p>
    <w:p w14:paraId="110D6438" w14:textId="62B531FF" w:rsidR="00CB015F" w:rsidRPr="00CB015F" w:rsidRDefault="00CB015F" w:rsidP="00CB015F">
      <w:pPr>
        <w:rPr>
          <w:i/>
          <w:lang w:val="en-US"/>
        </w:rPr>
      </w:pPr>
      <w:r>
        <w:rPr>
          <w:b/>
          <w:i/>
        </w:rPr>
        <w:t>Proposal #4</w:t>
      </w:r>
      <w:r>
        <w:rPr>
          <w:i/>
          <w:lang w:val="en-US"/>
        </w:rPr>
        <w:t>: Introduce a field in the DCI selecting which of the configured forward compatible resource configurations is to be activated</w:t>
      </w:r>
    </w:p>
    <w:sectPr w:rsidR="00CB015F" w:rsidRPr="00CB015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77785" w14:textId="77777777" w:rsidR="00E7033F" w:rsidRDefault="00E7033F">
      <w:r>
        <w:separator/>
      </w:r>
    </w:p>
  </w:endnote>
  <w:endnote w:type="continuationSeparator" w:id="0">
    <w:p w14:paraId="57630C90" w14:textId="77777777" w:rsidR="00E7033F" w:rsidRDefault="00E7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55C1C" w14:textId="77777777" w:rsidR="00E7033F" w:rsidRDefault="00E7033F">
      <w:r>
        <w:separator/>
      </w:r>
    </w:p>
  </w:footnote>
  <w:footnote w:type="continuationSeparator" w:id="0">
    <w:p w14:paraId="2F357FB8" w14:textId="77777777" w:rsidR="00E7033F" w:rsidRDefault="00E70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9"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B721C6"/>
    <w:multiLevelType w:val="hybridMultilevel"/>
    <w:tmpl w:val="A50C4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5"/>
  </w:num>
  <w:num w:numId="4">
    <w:abstractNumId w:val="21"/>
  </w:num>
  <w:num w:numId="5">
    <w:abstractNumId w:val="19"/>
  </w:num>
  <w:num w:numId="6">
    <w:abstractNumId w:val="14"/>
  </w:num>
  <w:num w:numId="7">
    <w:abstractNumId w:val="3"/>
    <w:lvlOverride w:ilvl="0">
      <w:startOverride w:val="1"/>
    </w:lvlOverride>
  </w:num>
  <w:num w:numId="8">
    <w:abstractNumId w:val="4"/>
  </w:num>
  <w:num w:numId="9">
    <w:abstractNumId w:val="13"/>
  </w:num>
  <w:num w:numId="10">
    <w:abstractNumId w:val="9"/>
  </w:num>
  <w:num w:numId="11">
    <w:abstractNumId w:val="12"/>
  </w:num>
  <w:num w:numId="12">
    <w:abstractNumId w:val="2"/>
  </w:num>
  <w:num w:numId="13">
    <w:abstractNumId w:val="18"/>
  </w:num>
  <w:num w:numId="14">
    <w:abstractNumId w:val="10"/>
  </w:num>
  <w:num w:numId="15">
    <w:abstractNumId w:val="6"/>
  </w:num>
  <w:num w:numId="16">
    <w:abstractNumId w:val="7"/>
  </w:num>
  <w:num w:numId="17">
    <w:abstractNumId w:val="16"/>
  </w:num>
  <w:num w:numId="18">
    <w:abstractNumId w:val="15"/>
  </w:num>
  <w:num w:numId="19">
    <w:abstractNumId w:val="1"/>
  </w:num>
  <w:num w:numId="20">
    <w:abstractNumId w:val="20"/>
  </w:num>
  <w:num w:numId="21">
    <w:abstractNumId w:val="17"/>
  </w:num>
  <w:num w:numId="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2E68"/>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3BD"/>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CD6"/>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62D"/>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259"/>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81D90"/>
    <w:rsid w:val="00482CD4"/>
    <w:rsid w:val="00483261"/>
    <w:rsid w:val="00485B23"/>
    <w:rsid w:val="004874E4"/>
    <w:rsid w:val="0049070D"/>
    <w:rsid w:val="00491BE4"/>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EEE"/>
    <w:rsid w:val="004C483D"/>
    <w:rsid w:val="004C48C5"/>
    <w:rsid w:val="004C795A"/>
    <w:rsid w:val="004C7F93"/>
    <w:rsid w:val="004D26B8"/>
    <w:rsid w:val="004D38C2"/>
    <w:rsid w:val="004D4FBD"/>
    <w:rsid w:val="004D4FC0"/>
    <w:rsid w:val="004D7B09"/>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500572"/>
    <w:rsid w:val="00501304"/>
    <w:rsid w:val="00501425"/>
    <w:rsid w:val="00504311"/>
    <w:rsid w:val="0050485C"/>
    <w:rsid w:val="00504AC6"/>
    <w:rsid w:val="00511079"/>
    <w:rsid w:val="00512829"/>
    <w:rsid w:val="00513839"/>
    <w:rsid w:val="0051423C"/>
    <w:rsid w:val="0051488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519A"/>
    <w:rsid w:val="005A704D"/>
    <w:rsid w:val="005B3C6D"/>
    <w:rsid w:val="005B4045"/>
    <w:rsid w:val="005B609E"/>
    <w:rsid w:val="005B6DF6"/>
    <w:rsid w:val="005B7B7D"/>
    <w:rsid w:val="005C1948"/>
    <w:rsid w:val="005C263C"/>
    <w:rsid w:val="005C2679"/>
    <w:rsid w:val="005D059A"/>
    <w:rsid w:val="005D07C5"/>
    <w:rsid w:val="005D4302"/>
    <w:rsid w:val="005D585A"/>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10AE"/>
    <w:rsid w:val="00632196"/>
    <w:rsid w:val="00633BF2"/>
    <w:rsid w:val="00633F67"/>
    <w:rsid w:val="006345C3"/>
    <w:rsid w:val="006362F9"/>
    <w:rsid w:val="006373CD"/>
    <w:rsid w:val="0064165D"/>
    <w:rsid w:val="006433BD"/>
    <w:rsid w:val="00643784"/>
    <w:rsid w:val="00644186"/>
    <w:rsid w:val="0064455B"/>
    <w:rsid w:val="00644A21"/>
    <w:rsid w:val="00645C9F"/>
    <w:rsid w:val="00646A6C"/>
    <w:rsid w:val="006505FA"/>
    <w:rsid w:val="006508B9"/>
    <w:rsid w:val="00650CA1"/>
    <w:rsid w:val="00651854"/>
    <w:rsid w:val="006539E8"/>
    <w:rsid w:val="006565D8"/>
    <w:rsid w:val="00656B96"/>
    <w:rsid w:val="0065736B"/>
    <w:rsid w:val="00657AE5"/>
    <w:rsid w:val="006610FC"/>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2146"/>
    <w:rsid w:val="006D632E"/>
    <w:rsid w:val="006E094A"/>
    <w:rsid w:val="006E12B1"/>
    <w:rsid w:val="006E13D1"/>
    <w:rsid w:val="006E1D43"/>
    <w:rsid w:val="006E4D0C"/>
    <w:rsid w:val="006E4D1B"/>
    <w:rsid w:val="006E5B78"/>
    <w:rsid w:val="006E6BA3"/>
    <w:rsid w:val="006F1116"/>
    <w:rsid w:val="006F3196"/>
    <w:rsid w:val="006F3C54"/>
    <w:rsid w:val="006F5E64"/>
    <w:rsid w:val="006F60DE"/>
    <w:rsid w:val="006F7124"/>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70B"/>
    <w:rsid w:val="007E57D0"/>
    <w:rsid w:val="007E79C5"/>
    <w:rsid w:val="007F2845"/>
    <w:rsid w:val="007F43BC"/>
    <w:rsid w:val="007F4740"/>
    <w:rsid w:val="008006C6"/>
    <w:rsid w:val="00800C52"/>
    <w:rsid w:val="0080153E"/>
    <w:rsid w:val="008064FE"/>
    <w:rsid w:val="0080742D"/>
    <w:rsid w:val="0081151E"/>
    <w:rsid w:val="00812498"/>
    <w:rsid w:val="008127E6"/>
    <w:rsid w:val="0081336E"/>
    <w:rsid w:val="00813928"/>
    <w:rsid w:val="00820DC7"/>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3E34"/>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111"/>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FA6"/>
    <w:rsid w:val="00B4399E"/>
    <w:rsid w:val="00B43A16"/>
    <w:rsid w:val="00B45CE1"/>
    <w:rsid w:val="00B46A75"/>
    <w:rsid w:val="00B500CD"/>
    <w:rsid w:val="00B50435"/>
    <w:rsid w:val="00B5239C"/>
    <w:rsid w:val="00B53893"/>
    <w:rsid w:val="00B548C2"/>
    <w:rsid w:val="00B55428"/>
    <w:rsid w:val="00B560C4"/>
    <w:rsid w:val="00B570BF"/>
    <w:rsid w:val="00B63337"/>
    <w:rsid w:val="00B6369F"/>
    <w:rsid w:val="00B639D7"/>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15F"/>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6F8C"/>
    <w:rsid w:val="00D27B8B"/>
    <w:rsid w:val="00D31B6E"/>
    <w:rsid w:val="00D3232B"/>
    <w:rsid w:val="00D3239F"/>
    <w:rsid w:val="00D324A4"/>
    <w:rsid w:val="00D3250C"/>
    <w:rsid w:val="00D328F6"/>
    <w:rsid w:val="00D3462C"/>
    <w:rsid w:val="00D35198"/>
    <w:rsid w:val="00D3584B"/>
    <w:rsid w:val="00D37720"/>
    <w:rsid w:val="00D42240"/>
    <w:rsid w:val="00D427C3"/>
    <w:rsid w:val="00D42EB8"/>
    <w:rsid w:val="00D44932"/>
    <w:rsid w:val="00D46111"/>
    <w:rsid w:val="00D47C16"/>
    <w:rsid w:val="00D502AF"/>
    <w:rsid w:val="00D50764"/>
    <w:rsid w:val="00D50C12"/>
    <w:rsid w:val="00D51A77"/>
    <w:rsid w:val="00D53830"/>
    <w:rsid w:val="00D55889"/>
    <w:rsid w:val="00D56B5F"/>
    <w:rsid w:val="00D57AF0"/>
    <w:rsid w:val="00D62ECD"/>
    <w:rsid w:val="00D64426"/>
    <w:rsid w:val="00D67BC5"/>
    <w:rsid w:val="00D7021B"/>
    <w:rsid w:val="00D70D33"/>
    <w:rsid w:val="00D73077"/>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3EE4"/>
    <w:rsid w:val="00E16463"/>
    <w:rsid w:val="00E239D1"/>
    <w:rsid w:val="00E26727"/>
    <w:rsid w:val="00E26970"/>
    <w:rsid w:val="00E27791"/>
    <w:rsid w:val="00E319DB"/>
    <w:rsid w:val="00E31AFC"/>
    <w:rsid w:val="00E3409E"/>
    <w:rsid w:val="00E34F76"/>
    <w:rsid w:val="00E37BE5"/>
    <w:rsid w:val="00E41A27"/>
    <w:rsid w:val="00E43524"/>
    <w:rsid w:val="00E4608B"/>
    <w:rsid w:val="00E501D3"/>
    <w:rsid w:val="00E53A01"/>
    <w:rsid w:val="00E564C4"/>
    <w:rsid w:val="00E567C9"/>
    <w:rsid w:val="00E604C4"/>
    <w:rsid w:val="00E60809"/>
    <w:rsid w:val="00E61300"/>
    <w:rsid w:val="00E635B9"/>
    <w:rsid w:val="00E65D15"/>
    <w:rsid w:val="00E67EE5"/>
    <w:rsid w:val="00E7013A"/>
    <w:rsid w:val="00E7033F"/>
    <w:rsid w:val="00E74F5D"/>
    <w:rsid w:val="00E76034"/>
    <w:rsid w:val="00E80440"/>
    <w:rsid w:val="00E817E0"/>
    <w:rsid w:val="00E82EE4"/>
    <w:rsid w:val="00E831E7"/>
    <w:rsid w:val="00E843B5"/>
    <w:rsid w:val="00E84A3B"/>
    <w:rsid w:val="00E85307"/>
    <w:rsid w:val="00E876EF"/>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57CF"/>
    <w:rsid w:val="00F66A00"/>
    <w:rsid w:val="00F713A3"/>
    <w:rsid w:val="00F71A8F"/>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330CD6"/>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SP-5AIRPNAIUNRU-1830940522-1603</_dlc_DocId>
    <_dlc_DocIdUrl xmlns="71c5aaf6-e6ce-465b-b873-5148d2a4c105">
      <Url>https://nokia.sharepoint.com/sites/c5g/5gradio/_layouts/15/DocIdRedir.aspx?ID=SP-5AIRPNAIUNRU-1830940522-1603</Url>
      <Description>SP-5AIRPNAIUNRU-1830940522-1603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2E911A-85F7-4274-A360-B1CF8BA3BA71}"/>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8618E82-1E15-4708-BC49-65FB64DC1716}">
  <ds:schemaRefs>
    <ds:schemaRef ds:uri="http://schemas.openxmlformats.org/officeDocument/2006/bibliography"/>
  </ds:schemaRefs>
</ds:datastoreItem>
</file>

<file path=customXml/itemProps5.xml><?xml version="1.0" encoding="utf-8"?>
<ds:datastoreItem xmlns:ds="http://schemas.openxmlformats.org/officeDocument/2006/customXml" ds:itemID="{81B97F96-9C49-4302-BDE8-87DA808D7013}"/>
</file>

<file path=docProps/app.xml><?xml version="1.0" encoding="utf-8"?>
<Properties xmlns="http://schemas.openxmlformats.org/officeDocument/2006/extended-properties" xmlns:vt="http://schemas.openxmlformats.org/officeDocument/2006/docPropsVTypes">
  <Template>3GPP TDoc.dot</Template>
  <TotalTime>1</TotalTime>
  <Pages>4</Pages>
  <Words>1087</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Karri</cp:lastModifiedBy>
  <cp:revision>3</cp:revision>
  <cp:lastPrinted>2016-06-20T11:35:00Z</cp:lastPrinted>
  <dcterms:created xsi:type="dcterms:W3CDTF">2017-08-11T19:06:00Z</dcterms:created>
  <dcterms:modified xsi:type="dcterms:W3CDTF">2017-08-11T19:06:00Z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a381abda-4d3c-43ef-a90f-4974765126e1</vt:lpwstr>
  </property>
</Properties>
</file>